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8717" w14:textId="57F668E9" w:rsidR="0049346C" w:rsidRPr="009E20DA" w:rsidRDefault="003219E9" w:rsidP="00551F86">
      <w:pPr>
        <w:ind w:left="0"/>
        <w:rPr>
          <w:b/>
          <w:bCs/>
          <w:sz w:val="28"/>
          <w:szCs w:val="28"/>
          <w:lang w:val="fr-CA"/>
        </w:rPr>
      </w:pPr>
      <w:r>
        <w:rPr>
          <w:b/>
          <w:bCs/>
          <w:noProof/>
          <w:sz w:val="28"/>
          <w:szCs w:val="28"/>
          <w:lang w:val="fr-CA"/>
          <w14:ligatures w14:val="standardContextual"/>
        </w:rPr>
        <w:drawing>
          <wp:anchor distT="0" distB="0" distL="114300" distR="114300" simplePos="0" relativeHeight="251660295" behindDoc="0" locked="0" layoutInCell="1" allowOverlap="1" wp14:anchorId="23238A76" wp14:editId="4891B050">
            <wp:simplePos x="0" y="0"/>
            <wp:positionH relativeFrom="margin">
              <wp:posOffset>4607651</wp:posOffset>
            </wp:positionH>
            <wp:positionV relativeFrom="margin">
              <wp:posOffset>-346710</wp:posOffset>
            </wp:positionV>
            <wp:extent cx="1549400" cy="730250"/>
            <wp:effectExtent l="0" t="0" r="0" b="6350"/>
            <wp:wrapSquare wrapText="bothSides"/>
            <wp:docPr id="17581379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3791" name="Picture 1"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400" cy="730250"/>
                    </a:xfrm>
                    <a:prstGeom prst="rect">
                      <a:avLst/>
                    </a:prstGeom>
                  </pic:spPr>
                </pic:pic>
              </a:graphicData>
            </a:graphic>
            <wp14:sizeRelH relativeFrom="page">
              <wp14:pctWidth>0</wp14:pctWidth>
            </wp14:sizeRelH>
            <wp14:sizeRelV relativeFrom="page">
              <wp14:pctHeight>0</wp14:pctHeight>
            </wp14:sizeRelV>
          </wp:anchor>
        </w:drawing>
      </w:r>
      <w:r w:rsidR="0049346C" w:rsidRPr="009E20DA">
        <w:rPr>
          <w:b/>
          <w:bCs/>
          <w:sz w:val="28"/>
          <w:szCs w:val="28"/>
          <w:lang w:val="fr-CA"/>
        </w:rPr>
        <w:t xml:space="preserve">Modèle de </w:t>
      </w:r>
      <w:r w:rsidR="002070A8" w:rsidRPr="009E20DA">
        <w:rPr>
          <w:b/>
          <w:bCs/>
          <w:sz w:val="28"/>
          <w:szCs w:val="28"/>
          <w:lang w:val="fr-CA"/>
        </w:rPr>
        <w:t xml:space="preserve">gestion de la </w:t>
      </w:r>
      <w:r w:rsidR="003551E7" w:rsidRPr="009E20DA">
        <w:rPr>
          <w:b/>
          <w:bCs/>
          <w:sz w:val="28"/>
          <w:szCs w:val="28"/>
          <w:lang w:val="fr-CA"/>
        </w:rPr>
        <w:t xml:space="preserve">confidentialité des données </w:t>
      </w:r>
      <w:r w:rsidR="002070A8" w:rsidRPr="009E20DA">
        <w:rPr>
          <w:b/>
          <w:bCs/>
          <w:sz w:val="28"/>
          <w:szCs w:val="28"/>
          <w:lang w:val="fr-CA"/>
        </w:rPr>
        <w:t xml:space="preserve">et de la cybersécurité </w:t>
      </w:r>
    </w:p>
    <w:p w14:paraId="2D883B23" w14:textId="59921B47" w:rsidR="0069258F" w:rsidRPr="009E20DA" w:rsidRDefault="0069258F" w:rsidP="00551F86">
      <w:pPr>
        <w:ind w:left="0"/>
        <w:rPr>
          <w:color w:val="595959" w:themeColor="text1" w:themeTint="A6"/>
          <w:lang w:val="fr-CA"/>
        </w:rPr>
      </w:pPr>
      <w:r w:rsidRPr="009E20DA">
        <w:rPr>
          <w:b/>
          <w:bCs/>
          <w:color w:val="595959" w:themeColor="text1" w:themeTint="A6"/>
          <w:lang w:val="fr-CA"/>
        </w:rPr>
        <w:t xml:space="preserve">Pratique de référence </w:t>
      </w:r>
      <w:r w:rsidRPr="009E20DA">
        <w:rPr>
          <w:color w:val="595959" w:themeColor="text1" w:themeTint="A6"/>
          <w:lang w:val="fr-CA"/>
        </w:rPr>
        <w:t xml:space="preserve">: </w:t>
      </w:r>
      <w:r w:rsidR="003551E7" w:rsidRPr="009E20DA">
        <w:rPr>
          <w:color w:val="595959" w:themeColor="text1" w:themeTint="A6"/>
          <w:lang w:val="fr-CA"/>
        </w:rPr>
        <w:t>S0</w:t>
      </w:r>
      <w:r w:rsidR="00FD6D1B" w:rsidRPr="009E20DA">
        <w:rPr>
          <w:color w:val="595959" w:themeColor="text1" w:themeTint="A6"/>
          <w:lang w:val="fr-CA"/>
        </w:rPr>
        <w:t xml:space="preserve">.1 </w:t>
      </w:r>
      <w:r w:rsidR="00F83DFF" w:rsidRPr="009E20DA">
        <w:rPr>
          <w:color w:val="595959" w:themeColor="text1" w:themeTint="A6"/>
          <w:lang w:val="fr-CA"/>
        </w:rPr>
        <w:t xml:space="preserve">&amp; 2 </w:t>
      </w:r>
      <w:r w:rsidR="003B4A46" w:rsidRPr="009E20DA">
        <w:rPr>
          <w:color w:val="595959" w:themeColor="text1" w:themeTint="A6"/>
          <w:lang w:val="fr-CA"/>
        </w:rPr>
        <w:t xml:space="preserve">- </w:t>
      </w:r>
      <w:r w:rsidR="002070A8" w:rsidRPr="009E20DA">
        <w:rPr>
          <w:color w:val="595959" w:themeColor="text1" w:themeTint="A6"/>
          <w:lang w:val="fr-CA"/>
        </w:rPr>
        <w:t xml:space="preserve">Gestion de la </w:t>
      </w:r>
      <w:r w:rsidR="003551E7" w:rsidRPr="009E20DA">
        <w:rPr>
          <w:color w:val="595959" w:themeColor="text1" w:themeTint="A6"/>
          <w:lang w:val="fr-CA"/>
        </w:rPr>
        <w:t xml:space="preserve">confidentialité des données </w:t>
      </w:r>
      <w:r w:rsidR="002070A8" w:rsidRPr="009E20DA">
        <w:rPr>
          <w:color w:val="595959" w:themeColor="text1" w:themeTint="A6"/>
          <w:lang w:val="fr-CA"/>
        </w:rPr>
        <w:t>et de la cybersécurité</w:t>
      </w:r>
    </w:p>
    <w:p w14:paraId="4CB5A117" w14:textId="5138354D" w:rsidR="006B43D2" w:rsidRPr="009E20DA" w:rsidRDefault="002E2F01" w:rsidP="00FD6D1B">
      <w:pPr>
        <w:ind w:left="0"/>
        <w:rPr>
          <w:color w:val="595959" w:themeColor="text1" w:themeTint="A6"/>
          <w:lang w:val="fr-CA"/>
        </w:rPr>
      </w:pPr>
      <w:r w:rsidRPr="009E20DA">
        <w:rPr>
          <w:b/>
          <w:bCs/>
          <w:color w:val="595959" w:themeColor="text1" w:themeTint="A6"/>
          <w:lang w:val="fr-CA"/>
        </w:rPr>
        <w:t>Classes d'</w:t>
      </w:r>
      <w:r w:rsidR="003B4A46" w:rsidRPr="009E20DA">
        <w:rPr>
          <w:b/>
          <w:bCs/>
          <w:color w:val="595959" w:themeColor="text1" w:themeTint="A6"/>
          <w:lang w:val="fr-CA"/>
        </w:rPr>
        <w:t xml:space="preserve">actifs </w:t>
      </w:r>
      <w:r w:rsidRPr="009E20DA">
        <w:rPr>
          <w:b/>
          <w:bCs/>
          <w:color w:val="595959" w:themeColor="text1" w:themeTint="A6"/>
          <w:lang w:val="fr-CA"/>
        </w:rPr>
        <w:t xml:space="preserve">applicables </w:t>
      </w:r>
      <w:r w:rsidR="006C3C5A" w:rsidRPr="009E20DA">
        <w:rPr>
          <w:color w:val="595959" w:themeColor="text1" w:themeTint="A6"/>
          <w:lang w:val="fr-CA"/>
        </w:rPr>
        <w:t xml:space="preserve">: </w:t>
      </w:r>
      <w:r w:rsidR="00FD6D1B" w:rsidRPr="009E20DA">
        <w:rPr>
          <w:color w:val="595959" w:themeColor="text1" w:themeTint="A6"/>
          <w:lang w:val="fr-CA"/>
        </w:rPr>
        <w:t xml:space="preserve">Bureaux, </w:t>
      </w:r>
      <w:r w:rsidR="009E20DA">
        <w:rPr>
          <w:color w:val="595959" w:themeColor="text1" w:themeTint="A6"/>
          <w:lang w:val="fr-CA"/>
        </w:rPr>
        <w:t>C</w:t>
      </w:r>
      <w:r w:rsidR="009E20DA" w:rsidRPr="009E20DA">
        <w:rPr>
          <w:color w:val="595959" w:themeColor="text1" w:themeTint="A6"/>
          <w:lang w:val="fr-CA"/>
        </w:rPr>
        <w:t>e</w:t>
      </w:r>
      <w:r w:rsidR="009E20DA">
        <w:rPr>
          <w:color w:val="595959" w:themeColor="text1" w:themeTint="A6"/>
          <w:lang w:val="fr-CA"/>
        </w:rPr>
        <w:t>ntres commerciaux fermés et à aire ouverte</w:t>
      </w:r>
      <w:r w:rsidR="00FD6D1B" w:rsidRPr="009E20DA">
        <w:rPr>
          <w:color w:val="595959" w:themeColor="text1" w:themeTint="A6"/>
          <w:lang w:val="fr-CA"/>
        </w:rPr>
        <w:t xml:space="preserve">, </w:t>
      </w:r>
      <w:r w:rsidR="009E20DA">
        <w:rPr>
          <w:color w:val="595959" w:themeColor="text1" w:themeTint="A6"/>
          <w:lang w:val="fr-CA"/>
        </w:rPr>
        <w:t>Industriel léger</w:t>
      </w:r>
      <w:r w:rsidR="00FD6D1B" w:rsidRPr="009E20DA">
        <w:rPr>
          <w:color w:val="595959" w:themeColor="text1" w:themeTint="A6"/>
          <w:lang w:val="fr-CA"/>
        </w:rPr>
        <w:t xml:space="preserve">, </w:t>
      </w:r>
      <w:r w:rsidR="008574AD" w:rsidRPr="009E20DA">
        <w:rPr>
          <w:color w:val="595959" w:themeColor="text1" w:themeTint="A6"/>
          <w:lang w:val="fr-CA"/>
        </w:rPr>
        <w:t>Soins de santé</w:t>
      </w:r>
      <w:r w:rsidR="00FD6D1B" w:rsidRPr="009E20DA">
        <w:rPr>
          <w:color w:val="595959" w:themeColor="text1" w:themeTint="A6"/>
          <w:lang w:val="fr-CA"/>
        </w:rPr>
        <w:t>, Universel et IRLM</w:t>
      </w:r>
    </w:p>
    <w:p w14:paraId="28BD8B7E" w14:textId="4AC87C81" w:rsidR="008013E2" w:rsidRPr="009E20DA" w:rsidRDefault="008013E2" w:rsidP="005C0E71">
      <w:pPr>
        <w:ind w:left="0"/>
        <w:rPr>
          <w:color w:val="595959" w:themeColor="text1" w:themeTint="A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05074B" w:rsidRPr="009E20DA" w14:paraId="77890B5F" w14:textId="77777777" w:rsidTr="00555864">
        <w:trPr>
          <w:trHeight w:val="20"/>
          <w:jc w:val="center"/>
        </w:trPr>
        <w:tc>
          <w:tcPr>
            <w:tcW w:w="9229" w:type="dxa"/>
            <w:shd w:val="clear" w:color="auto" w:fill="F2F2F2" w:themeFill="background2" w:themeFillShade="F2"/>
          </w:tcPr>
          <w:p w14:paraId="4655C712" w14:textId="11DD4AC1" w:rsidR="0005074B" w:rsidRPr="009E20DA" w:rsidRDefault="0005074B" w:rsidP="0005074B">
            <w:pPr>
              <w:ind w:left="0"/>
              <w:rPr>
                <w:b/>
                <w:bCs/>
                <w:i/>
                <w:iCs/>
                <w:color w:val="75787B" w:themeColor="accent3"/>
                <w:sz w:val="28"/>
                <w:szCs w:val="32"/>
                <w:lang w:val="fr-CA"/>
              </w:rPr>
            </w:pPr>
            <w:r w:rsidRPr="009E20DA">
              <w:rPr>
                <w:b/>
                <w:bCs/>
                <w:i/>
                <w:iCs/>
                <w:color w:val="75787B" w:themeColor="accent3"/>
                <w:sz w:val="28"/>
                <w:szCs w:val="32"/>
                <w:lang w:val="fr-CA"/>
              </w:rPr>
              <w:t>Instructions :</w:t>
            </w:r>
          </w:p>
          <w:p w14:paraId="63C2DD38" w14:textId="3EBC16F4" w:rsidR="0005074B" w:rsidRPr="009E20DA" w:rsidRDefault="0005074B" w:rsidP="0005074B">
            <w:pPr>
              <w:spacing w:after="120"/>
              <w:ind w:left="0"/>
              <w:rPr>
                <w:i/>
                <w:color w:val="595959" w:themeColor="text1" w:themeTint="A6"/>
                <w:sz w:val="20"/>
                <w:szCs w:val="20"/>
                <w:lang w:val="fr-CA"/>
              </w:rPr>
            </w:pPr>
            <w:r w:rsidRPr="009E20DA">
              <w:rPr>
                <w:i/>
                <w:color w:val="595959" w:themeColor="text1" w:themeTint="A6"/>
                <w:sz w:val="20"/>
                <w:szCs w:val="20"/>
                <w:lang w:val="fr-CA"/>
              </w:rPr>
              <w:t xml:space="preserve">Tous les textes en italique gris avec des bordures sont des instructions qui vous aideront à préparer la pratique de base requise pour le </w:t>
            </w:r>
            <w:r w:rsidR="005E0099" w:rsidRPr="009E20DA">
              <w:rPr>
                <w:i/>
                <w:color w:val="595959" w:themeColor="text1" w:themeTint="A6"/>
                <w:sz w:val="20"/>
                <w:szCs w:val="20"/>
                <w:lang w:val="fr-CA"/>
              </w:rPr>
              <w:t xml:space="preserve">modèle de </w:t>
            </w:r>
            <w:r w:rsidR="003551E7" w:rsidRPr="009E20DA">
              <w:rPr>
                <w:i/>
                <w:color w:val="595959" w:themeColor="text1" w:themeTint="A6"/>
                <w:sz w:val="20"/>
                <w:szCs w:val="20"/>
                <w:lang w:val="fr-CA"/>
              </w:rPr>
              <w:t xml:space="preserve">confidentialité des données de </w:t>
            </w:r>
            <w:r w:rsidRPr="009E20DA">
              <w:rPr>
                <w:i/>
                <w:color w:val="595959" w:themeColor="text1" w:themeTint="A6"/>
                <w:sz w:val="20"/>
                <w:szCs w:val="20"/>
                <w:lang w:val="fr-CA"/>
              </w:rPr>
              <w:t xml:space="preserve">votre </w:t>
            </w:r>
            <w:r w:rsidR="005E0099" w:rsidRPr="009E20DA">
              <w:rPr>
                <w:i/>
                <w:color w:val="595959" w:themeColor="text1" w:themeTint="A6"/>
                <w:sz w:val="20"/>
                <w:szCs w:val="20"/>
                <w:lang w:val="fr-CA"/>
              </w:rPr>
              <w:t>bâtiment</w:t>
            </w:r>
            <w:r w:rsidRPr="009E20DA">
              <w:rPr>
                <w:i/>
                <w:color w:val="595959" w:themeColor="text1" w:themeTint="A6"/>
                <w:sz w:val="20"/>
                <w:szCs w:val="20"/>
                <w:lang w:val="fr-CA"/>
              </w:rPr>
              <w:t xml:space="preserve">. </w:t>
            </w:r>
          </w:p>
          <w:p w14:paraId="45ADABD3" w14:textId="09E95343" w:rsidR="0005074B" w:rsidRPr="009E20DA" w:rsidRDefault="0005074B" w:rsidP="459C5829">
            <w:pPr>
              <w:pStyle w:val="ListParagraph"/>
              <w:numPr>
                <w:ilvl w:val="0"/>
                <w:numId w:val="2"/>
              </w:numPr>
              <w:spacing w:after="120"/>
              <w:ind w:left="360"/>
              <w:rPr>
                <w:i/>
                <w:iCs/>
                <w:color w:val="595959" w:themeColor="text1" w:themeTint="A6"/>
                <w:sz w:val="20"/>
                <w:szCs w:val="20"/>
                <w:lang w:val="fr-CA"/>
              </w:rPr>
            </w:pPr>
            <w:r w:rsidRPr="009E20DA">
              <w:rPr>
                <w:i/>
                <w:iCs/>
                <w:color w:val="595959" w:themeColor="text1" w:themeTint="A6"/>
                <w:sz w:val="20"/>
                <w:szCs w:val="20"/>
                <w:lang w:val="fr-CA"/>
              </w:rPr>
              <w:t xml:space="preserve">Remplacer tous les </w:t>
            </w:r>
            <w:r w:rsidRPr="009E20DA">
              <w:rPr>
                <w:color w:val="0070C0"/>
                <w:sz w:val="20"/>
                <w:szCs w:val="20"/>
                <w:lang w:val="fr-CA"/>
              </w:rPr>
              <w:t xml:space="preserve">[textes bleus entre parenthèses] </w:t>
            </w:r>
            <w:r w:rsidRPr="009E20DA">
              <w:rPr>
                <w:i/>
                <w:iCs/>
                <w:color w:val="595959" w:themeColor="text1" w:themeTint="A6"/>
                <w:sz w:val="20"/>
                <w:szCs w:val="20"/>
                <w:lang w:val="fr-CA"/>
              </w:rPr>
              <w:t xml:space="preserve">du document par des informations sur </w:t>
            </w:r>
            <w:r w:rsidR="003551E7" w:rsidRPr="009E20DA">
              <w:rPr>
                <w:i/>
                <w:iCs/>
                <w:color w:val="595959" w:themeColor="text1" w:themeTint="A6"/>
                <w:sz w:val="20"/>
                <w:szCs w:val="20"/>
                <w:lang w:val="fr-CA"/>
              </w:rPr>
              <w:t xml:space="preserve">la confidentialité des données du </w:t>
            </w:r>
            <w:r w:rsidRPr="009E20DA">
              <w:rPr>
                <w:i/>
                <w:iCs/>
                <w:color w:val="595959" w:themeColor="text1" w:themeTint="A6"/>
                <w:sz w:val="20"/>
                <w:szCs w:val="20"/>
                <w:lang w:val="fr-CA"/>
              </w:rPr>
              <w:t>bâtiment.</w:t>
            </w:r>
          </w:p>
          <w:p w14:paraId="32A58882" w14:textId="2D2E7F76" w:rsidR="0005074B" w:rsidRPr="009E20DA" w:rsidRDefault="004B087F" w:rsidP="0005074B">
            <w:pPr>
              <w:pStyle w:val="ListParagraph"/>
              <w:numPr>
                <w:ilvl w:val="0"/>
                <w:numId w:val="2"/>
              </w:numPr>
              <w:spacing w:after="120"/>
              <w:ind w:left="360"/>
              <w:contextualSpacing w:val="0"/>
              <w:rPr>
                <w:i/>
                <w:color w:val="595959" w:themeColor="text1" w:themeTint="A6"/>
                <w:sz w:val="20"/>
                <w:szCs w:val="20"/>
                <w:lang w:val="fr-CA"/>
              </w:rPr>
            </w:pPr>
            <w:r w:rsidRPr="009E20DA">
              <w:rPr>
                <w:i/>
                <w:color w:val="595959" w:themeColor="text1" w:themeTint="A6"/>
                <w:sz w:val="20"/>
                <w:szCs w:val="20"/>
                <w:lang w:val="fr-CA"/>
              </w:rPr>
              <w:t>Le</w:t>
            </w:r>
            <w:r w:rsidR="0005074B" w:rsidRPr="009E20DA">
              <w:rPr>
                <w:i/>
                <w:color w:val="595959" w:themeColor="text1" w:themeTint="A6"/>
                <w:sz w:val="20"/>
                <w:szCs w:val="20"/>
                <w:lang w:val="fr-CA"/>
              </w:rPr>
              <w:t xml:space="preserve"> cas échéant, accomplissez les tâches nécessaires, ou engagez un consultant tiers pour les accomplir, afin d'être en mesure de remplir les sections pertinentes du modèle. </w:t>
            </w:r>
          </w:p>
          <w:p w14:paraId="53D04237" w14:textId="42639521" w:rsidR="00555864" w:rsidRPr="009E20DA" w:rsidRDefault="0005074B" w:rsidP="0049346C">
            <w:pPr>
              <w:pStyle w:val="ListParagraph"/>
              <w:numPr>
                <w:ilvl w:val="0"/>
                <w:numId w:val="2"/>
              </w:numPr>
              <w:spacing w:after="120"/>
              <w:ind w:left="360"/>
              <w:contextualSpacing w:val="0"/>
              <w:rPr>
                <w:i/>
                <w:color w:val="595959" w:themeColor="text1" w:themeTint="A6"/>
                <w:sz w:val="20"/>
                <w:szCs w:val="20"/>
                <w:lang w:val="fr-CA"/>
              </w:rPr>
            </w:pPr>
            <w:r w:rsidRPr="009E20DA">
              <w:rPr>
                <w:i/>
                <w:color w:val="595959" w:themeColor="text1" w:themeTint="A6"/>
                <w:sz w:val="20"/>
                <w:szCs w:val="20"/>
                <w:lang w:val="fr-CA"/>
              </w:rPr>
              <w:t>Supprimez tout le texte en italique gris lorsque vous avez rempli toutes les sections pertinentes avec des informations spécifiques au bâtiment.</w:t>
            </w:r>
            <w:r w:rsidR="00555864" w:rsidRPr="009E20DA">
              <w:rPr>
                <w:i/>
                <w:color w:val="595959" w:themeColor="text1" w:themeTint="A6"/>
                <w:sz w:val="20"/>
                <w:szCs w:val="20"/>
                <w:lang w:val="fr-CA"/>
              </w:rPr>
              <w:br/>
            </w:r>
          </w:p>
        </w:tc>
      </w:tr>
    </w:tbl>
    <w:p w14:paraId="5C65E9CD" w14:textId="67020871" w:rsidR="006B43D2" w:rsidRPr="009E20DA" w:rsidRDefault="006B43D2">
      <w:pPr>
        <w:spacing w:before="0" w:after="160" w:line="259" w:lineRule="auto"/>
        <w:ind w:left="0"/>
        <w:rPr>
          <w:b/>
          <w:sz w:val="10"/>
          <w:szCs w:val="10"/>
          <w:lang w:val="fr-CA"/>
        </w:rPr>
      </w:pPr>
    </w:p>
    <w:p w14:paraId="1E8A873D" w14:textId="0B25B276" w:rsidR="003551E7" w:rsidRPr="009E20DA" w:rsidRDefault="003551E7">
      <w:pPr>
        <w:spacing w:before="0" w:after="160" w:line="259" w:lineRule="auto"/>
        <w:ind w:left="0"/>
        <w:rPr>
          <w:b/>
          <w:sz w:val="10"/>
          <w:szCs w:val="10"/>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5E666B27" wp14:editId="6DEA58DC">
                <wp:simplePos x="0" y="0"/>
                <wp:positionH relativeFrom="margin">
                  <wp:align>right</wp:align>
                </wp:positionH>
                <wp:positionV relativeFrom="paragraph">
                  <wp:posOffset>174625</wp:posOffset>
                </wp:positionV>
                <wp:extent cx="5943600" cy="990600"/>
                <wp:effectExtent l="0" t="0" r="0" b="0"/>
                <wp:wrapTopAndBottom/>
                <wp:docPr id="1165227202" name="Text Box 1"/>
                <wp:cNvGraphicFramePr/>
                <a:graphic xmlns:a="http://schemas.openxmlformats.org/drawingml/2006/main">
                  <a:graphicData uri="http://schemas.microsoft.com/office/word/2010/wordprocessingShape">
                    <wps:wsp>
                      <wps:cNvSpPr txBox="1"/>
                      <wps:spPr>
                        <a:xfrm>
                          <a:off x="0" y="0"/>
                          <a:ext cx="5943600" cy="990600"/>
                        </a:xfrm>
                        <a:prstGeom prst="rect">
                          <a:avLst/>
                        </a:prstGeom>
                        <a:solidFill>
                          <a:srgbClr val="FFFFFF">
                            <a:lumMod val="95000"/>
                          </a:srgbClr>
                        </a:solidFill>
                        <a:ln w="6350">
                          <a:noFill/>
                        </a:ln>
                      </wps:spPr>
                      <wps:txbx>
                        <w:txbxContent>
                          <w:p w14:paraId="10D5DD31" w14:textId="38C5F4C7" w:rsidR="003551E7" w:rsidRPr="009E20DA" w:rsidRDefault="003551E7" w:rsidP="003551E7">
                            <w:pPr>
                              <w:ind w:left="0"/>
                              <w:rPr>
                                <w:b/>
                                <w:bCs/>
                                <w:i/>
                                <w:color w:val="595959" w:themeColor="text1" w:themeTint="A6"/>
                                <w:lang w:val="fr-CA"/>
                              </w:rPr>
                            </w:pPr>
                            <w:r w:rsidRPr="009E20DA">
                              <w:rPr>
                                <w:b/>
                                <w:bCs/>
                                <w:i/>
                                <w:color w:val="595959" w:themeColor="text1" w:themeTint="A6"/>
                                <w:u w:val="single"/>
                                <w:lang w:val="fr-CA"/>
                              </w:rPr>
                              <w:t>Remarque !</w:t>
                            </w:r>
                          </w:p>
                          <w:p w14:paraId="77935A91" w14:textId="2AE7E7BF" w:rsidR="003551E7" w:rsidRPr="009E20DA" w:rsidRDefault="003551E7" w:rsidP="003551E7">
                            <w:pPr>
                              <w:ind w:left="0"/>
                              <w:rPr>
                                <w:b/>
                                <w:bCs/>
                                <w:i/>
                                <w:color w:val="595959" w:themeColor="text1" w:themeTint="A6"/>
                                <w:sz w:val="20"/>
                                <w:szCs w:val="20"/>
                                <w:lang w:val="fr-CA"/>
                              </w:rPr>
                            </w:pPr>
                            <w:r w:rsidRPr="009E20DA">
                              <w:rPr>
                                <w:b/>
                                <w:bCs/>
                                <w:i/>
                                <w:color w:val="595959" w:themeColor="text1" w:themeTint="A6"/>
                                <w:sz w:val="20"/>
                                <w:szCs w:val="20"/>
                                <w:lang w:val="fr-CA"/>
                              </w:rPr>
                              <w:t>L'élaboration d'une politique globale de cybersécurité est essentielle pour les organisations informatiques au Canada afin de protéger leurs actifs informationnels et de se conformer aux lois et réglementations nationales. Vous trouverez ci-dessous un guide structuré pour l'élaboration d'une telle politique.</w:t>
                            </w:r>
                          </w:p>
                          <w:p w14:paraId="4856FD0B" w14:textId="1DB24163" w:rsidR="003551E7" w:rsidRPr="009E20DA" w:rsidRDefault="003551E7" w:rsidP="003551E7">
                            <w:pPr>
                              <w:ind w:left="0"/>
                              <w:rPr>
                                <w:i/>
                                <w:color w:val="595959" w:themeColor="text1" w:themeTint="A6"/>
                                <w:sz w:val="20"/>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66B27" id="_x0000_t202" coordsize="21600,21600" o:spt="202" path="m,l,21600r21600,l21600,xe">
                <v:stroke joinstyle="miter"/>
                <v:path gradientshapeok="t" o:connecttype="rect"/>
              </v:shapetype>
              <v:shape id="Text Box 1" o:spid="_x0000_s1026" type="#_x0000_t202" style="position:absolute;margin-left:416.8pt;margin-top:13.75pt;width:468pt;height:7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" fillcolor="#f2f2f2" stroked="f" strokeweight=".5pt">
                <v:textbox>
                  <w:txbxContent>
                    <w:p w14:paraId="10D5DD31" w14:textId="38C5F4C7" w:rsidR="003551E7" w:rsidRPr="009E20DA" w:rsidRDefault="003551E7" w:rsidP="003551E7">
                      <w:pPr>
                        <w:ind w:left="0"/>
                        <w:rPr>
                          <w:b/>
                          <w:bCs/>
                          <w:i/>
                          <w:color w:val="595959" w:themeColor="text1" w:themeTint="A6"/>
                          <w:lang w:val="fr-CA"/>
                        </w:rPr>
                      </w:pPr>
                      <w:r w:rsidRPr="009E20DA">
                        <w:rPr>
                          <w:b/>
                          <w:bCs/>
                          <w:i/>
                          <w:color w:val="595959" w:themeColor="text1" w:themeTint="A6"/>
                          <w:u w:val="single"/>
                          <w:lang w:val="fr-CA"/>
                        </w:rPr>
                        <w:t>Remarque !</w:t>
                      </w:r>
                    </w:p>
                    <w:p w14:paraId="77935A91" w14:textId="2AE7E7BF" w:rsidR="003551E7" w:rsidRPr="009E20DA" w:rsidRDefault="003551E7" w:rsidP="003551E7">
                      <w:pPr>
                        <w:ind w:left="0"/>
                        <w:rPr>
                          <w:b/>
                          <w:bCs/>
                          <w:i/>
                          <w:color w:val="595959" w:themeColor="text1" w:themeTint="A6"/>
                          <w:sz w:val="20"/>
                          <w:szCs w:val="20"/>
                          <w:lang w:val="fr-CA"/>
                        </w:rPr>
                      </w:pPr>
                      <w:r w:rsidRPr="009E20DA">
                        <w:rPr>
                          <w:b/>
                          <w:bCs/>
                          <w:i/>
                          <w:color w:val="595959" w:themeColor="text1" w:themeTint="A6"/>
                          <w:sz w:val="20"/>
                          <w:szCs w:val="20"/>
                          <w:lang w:val="fr-CA"/>
                        </w:rPr>
                        <w:t>L'élaboration d'une politique globale de cybersécurité est essentielle pour les organisations informatiques au Canada afin de protéger leurs actifs informationnels et de se conformer aux lois et réglementations nationales. Vous trouverez ci-dessous un guide structuré pour l'élaboration d'une telle politique.</w:t>
                      </w:r>
                    </w:p>
                    <w:p w14:paraId="4856FD0B" w14:textId="1DB24163" w:rsidR="003551E7" w:rsidRPr="009E20DA" w:rsidRDefault="003551E7" w:rsidP="003551E7">
                      <w:pPr>
                        <w:ind w:left="0"/>
                        <w:rPr>
                          <w:i/>
                          <w:color w:val="595959" w:themeColor="text1" w:themeTint="A6"/>
                          <w:sz w:val="20"/>
                          <w:szCs w:val="20"/>
                          <w:lang w:val="fr-CA"/>
                        </w:rPr>
                      </w:pPr>
                    </w:p>
                  </w:txbxContent>
                </v:textbox>
                <w10:wrap type="topAndBottom" anchorx="margin"/>
              </v:shape>
            </w:pict>
          </mc:Fallback>
        </mc:AlternateContent>
      </w:r>
    </w:p>
    <w:p w14:paraId="2992B735" w14:textId="3A0C94BD" w:rsidR="003551E7" w:rsidRPr="009E20DA" w:rsidRDefault="003551E7">
      <w:pPr>
        <w:spacing w:before="0" w:after="160" w:line="259" w:lineRule="auto"/>
        <w:ind w:left="0"/>
        <w:rPr>
          <w:b/>
          <w:sz w:val="10"/>
          <w:szCs w:val="10"/>
          <w:lang w:val="fr-CA"/>
        </w:rPr>
      </w:pPr>
    </w:p>
    <w:p w14:paraId="1B883FD2" w14:textId="6A4495E2" w:rsidR="003551E7" w:rsidRPr="009E20DA" w:rsidRDefault="003551E7">
      <w:pPr>
        <w:spacing w:before="0" w:after="160" w:line="259" w:lineRule="auto"/>
        <w:ind w:left="0"/>
        <w:rPr>
          <w:b/>
          <w:sz w:val="10"/>
          <w:szCs w:val="10"/>
          <w:lang w:val="fr-CA"/>
        </w:rPr>
      </w:pPr>
    </w:p>
    <w:p w14:paraId="04EB9EDA" w14:textId="3FA6D5A9" w:rsidR="002C6F90" w:rsidRPr="009E20DA" w:rsidRDefault="003551E7" w:rsidP="0036067B">
      <w:pPr>
        <w:ind w:left="0"/>
        <w:rPr>
          <w:color w:val="0070C0"/>
          <w:lang w:val="fr-CA"/>
        </w:rPr>
      </w:pPr>
      <w:bookmarkStart w:id="0" w:name="_Hlk184031406"/>
      <w:r w:rsidRPr="009E20DA">
        <w:rPr>
          <w:b/>
          <w:sz w:val="36"/>
          <w:lang w:val="fr-CA"/>
        </w:rPr>
        <w:t>Politique de confidentialité des données</w:t>
      </w:r>
    </w:p>
    <w:bookmarkEnd w:id="0"/>
    <w:p w14:paraId="709D54F9" w14:textId="7B96954C" w:rsidR="00345983" w:rsidRPr="009E20DA" w:rsidRDefault="007B2554" w:rsidP="00345983">
      <w:pPr>
        <w:ind w:left="0"/>
        <w:rPr>
          <w:color w:val="0070C0"/>
          <w:lang w:val="fr-CA"/>
        </w:rPr>
      </w:pPr>
      <w:r>
        <w:rPr>
          <w:color w:val="0070C0"/>
        </w:rPr>
        <w:fldChar w:fldCharType="begin">
          <w:ffData>
            <w:name w:val="Text8"/>
            <w:enabled/>
            <w:calcOnExit w:val="0"/>
            <w:textInput>
              <w:default w:val="[Insert Building Name and Address]"/>
            </w:textInput>
          </w:ffData>
        </w:fldChar>
      </w:r>
      <w:bookmarkStart w:id="1" w:name="Text8"/>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[Insérer le nom et l'adresse du bâtiment]</w:t>
      </w:r>
      <w:r>
        <w:rPr>
          <w:color w:val="0070C0"/>
        </w:rPr>
        <w:fldChar w:fldCharType="end"/>
      </w:r>
      <w:bookmarkEnd w:id="1"/>
    </w:p>
    <w:p w14:paraId="4742C1E6" w14:textId="04F3BCCF" w:rsidR="00345983" w:rsidRPr="009E20DA" w:rsidRDefault="00345983" w:rsidP="0036067B">
      <w:pPr>
        <w:ind w:left="0"/>
        <w:rPr>
          <w:color w:val="0070C0"/>
          <w:lang w:val="fr-CA"/>
        </w:rPr>
      </w:pPr>
    </w:p>
    <w:bookmarkStart w:id="2" w:name="_Hlk40693004"/>
    <w:p w14:paraId="23526A81" w14:textId="7CFBDD1E" w:rsidR="00345983" w:rsidRPr="009E20DA" w:rsidRDefault="00555864" w:rsidP="0036067B">
      <w:pPr>
        <w:ind w:left="0"/>
        <w:rPr>
          <w:color w:val="0070C0"/>
          <w:lang w:val="fr-CA"/>
        </w:rPr>
      </w:pPr>
      <w:r>
        <w:rPr>
          <w:color w:val="0070C0"/>
        </w:rPr>
        <w:fldChar w:fldCharType="begin">
          <w:ffData>
            <w:name w:val="Text9"/>
            <w:enabled/>
            <w:calcOnExit w:val="0"/>
            <w:textInput>
              <w:default w:val="[Insert Name of Organization]"/>
            </w:textInput>
          </w:ffData>
        </w:fldChar>
      </w:r>
      <w:bookmarkStart w:id="3" w:name="Text9"/>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[Insérer le nom de l'organisation]</w:t>
      </w:r>
      <w:r>
        <w:rPr>
          <w:color w:val="0070C0"/>
        </w:rPr>
        <w:fldChar w:fldCharType="end"/>
      </w:r>
      <w:bookmarkEnd w:id="2"/>
      <w:bookmarkEnd w:id="3"/>
    </w:p>
    <w:p w14:paraId="64031953" w14:textId="05CBCD85" w:rsidR="00345983" w:rsidRPr="009E20DA" w:rsidRDefault="00345983" w:rsidP="0036067B">
      <w:pPr>
        <w:ind w:left="0"/>
        <w:rPr>
          <w:color w:val="0070C0"/>
          <w:lang w:val="fr-CA"/>
        </w:rPr>
      </w:pPr>
    </w:p>
    <w:p w14:paraId="30AD5442" w14:textId="72D138B7" w:rsidR="00DB0052" w:rsidRDefault="00345983" w:rsidP="00197997">
      <w:pPr>
        <w:ind w:left="0"/>
        <w:rPr>
          <w:color w:val="0070C0"/>
        </w:rPr>
      </w:pPr>
      <w:r>
        <w:rPr>
          <w:color w:val="0070C0"/>
        </w:rPr>
        <w:fldChar w:fldCharType="begin">
          <w:ffData>
            <w:name w:val=""/>
            <w:enabled/>
            <w:calcOnExit w:val="0"/>
            <w:textInput>
              <w:default w:val="[Insert Contact Information]"/>
            </w:textInput>
          </w:ffData>
        </w:fldChar>
      </w:r>
      <w:r>
        <w:rPr>
          <w:color w:val="0070C0"/>
        </w:rPr>
        <w:instrText xml:space="preserve"> FORMTEXT </w:instrText>
      </w:r>
      <w:r>
        <w:rPr>
          <w:color w:val="0070C0"/>
        </w:rPr>
      </w:r>
      <w:r>
        <w:rPr>
          <w:color w:val="0070C0"/>
        </w:rPr>
        <w:fldChar w:fldCharType="separate"/>
      </w:r>
      <w:r>
        <w:rPr>
          <w:noProof/>
          <w:color w:val="0070C0"/>
        </w:rPr>
        <w:t>[Insérer les coordonnées]</w:t>
      </w:r>
      <w:r>
        <w:rPr>
          <w:color w:val="0070C0"/>
        </w:rPr>
        <w:fldChar w:fldCharType="end"/>
      </w:r>
    </w:p>
    <w:p w14:paraId="0CD1B3C4" w14:textId="057648CE" w:rsidR="00DB0052" w:rsidRDefault="00DB0052" w:rsidP="00197997">
      <w:pPr>
        <w:ind w:left="0"/>
        <w:rPr>
          <w:color w:val="0070C0"/>
        </w:rPr>
      </w:pPr>
    </w:p>
    <w:p w14:paraId="500867AA" w14:textId="77777777" w:rsidR="00DB0052" w:rsidRDefault="00DB0052" w:rsidP="00197997">
      <w:pPr>
        <w:ind w:left="0"/>
        <w:rPr>
          <w:color w:val="0070C0"/>
        </w:rPr>
      </w:pPr>
    </w:p>
    <w:p w14:paraId="356B3044" w14:textId="32CD3BD6" w:rsidR="00DB0052" w:rsidRDefault="00DB0052" w:rsidP="00197997">
      <w:pPr>
        <w:ind w:left="0"/>
        <w:rPr>
          <w:color w:val="0070C0"/>
        </w:rPr>
      </w:pPr>
    </w:p>
    <w:p w14:paraId="1C5513B3" w14:textId="77777777" w:rsidR="00091910" w:rsidRDefault="00091910" w:rsidP="00197997">
      <w:pPr>
        <w:ind w:left="0"/>
        <w:rPr>
          <w:color w:val="0070C0"/>
        </w:rPr>
      </w:pPr>
    </w:p>
    <w:p w14:paraId="67EE4383" w14:textId="77777777" w:rsidR="00091910" w:rsidRDefault="00091910" w:rsidP="00197997">
      <w:pPr>
        <w:ind w:left="0"/>
        <w:rPr>
          <w:color w:val="0070C0"/>
        </w:rPr>
      </w:pPr>
    </w:p>
    <w:p w14:paraId="4A646D37" w14:textId="77777777" w:rsidR="00091910" w:rsidRDefault="00091910" w:rsidP="00197997">
      <w:pPr>
        <w:ind w:left="0"/>
        <w:rPr>
          <w:color w:val="0070C0"/>
        </w:rPr>
      </w:pPr>
    </w:p>
    <w:p w14:paraId="72280A41" w14:textId="77777777" w:rsidR="00091910" w:rsidRDefault="00091910" w:rsidP="00197997">
      <w:pPr>
        <w:ind w:left="0"/>
        <w:rPr>
          <w:color w:val="0070C0"/>
        </w:rPr>
      </w:pPr>
    </w:p>
    <w:p w14:paraId="0774B51C" w14:textId="6EB715AB" w:rsidR="00DB0052" w:rsidRPr="00197997" w:rsidRDefault="00DB0052" w:rsidP="00197997">
      <w:pPr>
        <w:ind w:left="0"/>
        <w:rPr>
          <w:color w:val="0070C0"/>
        </w:rPr>
      </w:pPr>
    </w:p>
    <w:p w14:paraId="4C72C593" w14:textId="7C518687" w:rsidR="00B92510" w:rsidRPr="009E20DA" w:rsidRDefault="00DA6432" w:rsidP="0003543D">
      <w:pPr>
        <w:pStyle w:val="Heading1"/>
        <w:rPr>
          <w:lang w:val="fr-CA"/>
        </w:rPr>
      </w:pPr>
      <w:bookmarkStart w:id="4" w:name="_Hlk183698922"/>
      <w:bookmarkStart w:id="5" w:name="_Hlk183698317"/>
      <w:r>
        <w:rPr>
          <w:lang w:val="fr-CA"/>
        </w:rPr>
        <w:t>Objectif de la p</w:t>
      </w:r>
      <w:r w:rsidR="003551E7" w:rsidRPr="009E20DA">
        <w:rPr>
          <w:lang w:val="fr-CA"/>
        </w:rPr>
        <w:t>olitique de confidentialité des données</w:t>
      </w:r>
    </w:p>
    <w:bookmarkStart w:id="6" w:name="_Hlk183698596"/>
    <w:p w14:paraId="6EBEED02" w14:textId="7B016DBA" w:rsidR="00197997" w:rsidRPr="009E20DA" w:rsidRDefault="00DB0052" w:rsidP="00197997">
      <w:pPr>
        <w:rPr>
          <w:color w:val="0070C0"/>
          <w:lang w:val="fr-CA"/>
        </w:rPr>
      </w:pPr>
      <w:r>
        <w:rPr>
          <w:color w:val="0070C0"/>
        </w:rPr>
        <w:fldChar w:fldCharType="begin">
          <w:ffData>
            <w:name w:val=""/>
            <w:enabled/>
            <w:calcOnExit w:val="0"/>
            <w:textInput>
              <w:default w:val="[Insert Data Privacy Policy Purpose]"/>
            </w:textInput>
          </w:ffData>
        </w:fldChar>
      </w:r>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[Insérer l'objectif de la politique de confidentialité des données]</w:t>
      </w:r>
      <w:r>
        <w:rPr>
          <w:color w:val="0070C0"/>
        </w:rPr>
        <w:fldChar w:fldCharType="end"/>
      </w:r>
    </w:p>
    <w:bookmarkEnd w:id="4"/>
    <w:p w14:paraId="5EB732D2" w14:textId="77777777" w:rsidR="0045653B" w:rsidRPr="009E20DA" w:rsidRDefault="0045653B" w:rsidP="00197997">
      <w:pPr>
        <w:ind w:left="0"/>
        <w:rPr>
          <w:color w:val="0070C0"/>
          <w:lang w:val="fr-CA"/>
        </w:rPr>
      </w:pPr>
    </w:p>
    <w:p w14:paraId="60F5C82E" w14:textId="13D552D9" w:rsidR="00BF036F" w:rsidRPr="004D04E7" w:rsidRDefault="00BF036F" w:rsidP="00BF036F">
      <w:pPr>
        <w:ind w:left="0"/>
        <w:rPr>
          <w:iCs/>
        </w:rPr>
      </w:pPr>
      <w:r w:rsidRPr="009E20DA">
        <w:rPr>
          <w:iCs/>
          <w:lang w:val="fr-CA"/>
        </w:rPr>
        <w:t xml:space="preserve">La présente politique de cybersécurité a pour objet d'établir un cadre global permettant de protéger les actifs informationnels de </w:t>
      </w:r>
      <w:r w:rsidRPr="009E20DA">
        <w:rPr>
          <w:iCs/>
          <w:color w:val="0070C0"/>
          <w:lang w:val="fr-CA"/>
        </w:rPr>
        <w:t xml:space="preserve">[Nom de l'organisation] </w:t>
      </w:r>
      <w:r w:rsidRPr="009E20DA">
        <w:rPr>
          <w:iCs/>
          <w:lang w:val="fr-CA"/>
        </w:rPr>
        <w:t xml:space="preserve">contre les cybermenaces, en garantissant la confidentialité, l'intégrité et la disponibilité des données. </w:t>
      </w:r>
      <w:r w:rsidRPr="004D04E7">
        <w:rPr>
          <w:iCs/>
        </w:rPr>
        <w:t>Cette politique vise à</w:t>
      </w:r>
    </w:p>
    <w:p w14:paraId="500D6DE4" w14:textId="53F8AB5A" w:rsidR="00BF036F" w:rsidRPr="009E20DA" w:rsidRDefault="00BF036F" w:rsidP="00BF036F">
      <w:pPr>
        <w:pStyle w:val="ListParagraph"/>
        <w:numPr>
          <w:ilvl w:val="0"/>
          <w:numId w:val="4"/>
        </w:numPr>
        <w:rPr>
          <w:iCs/>
          <w:lang w:val="fr-CA"/>
        </w:rPr>
      </w:pPr>
      <w:r w:rsidRPr="009E20DA">
        <w:rPr>
          <w:b/>
          <w:bCs/>
          <w:iCs/>
          <w:lang w:val="fr-CA"/>
        </w:rPr>
        <w:t>Protéger les actifs informationnels :</w:t>
      </w:r>
      <w:r w:rsidRPr="009E20DA">
        <w:rPr>
          <w:iCs/>
          <w:lang w:val="fr-CA"/>
        </w:rPr>
        <w:t xml:space="preserve"> Mettre en œuvre des mesures de défense contre l'accès non autorisé, la divulgation, l'altération et la destruction des données de l'organisation.</w:t>
      </w:r>
    </w:p>
    <w:p w14:paraId="2E3DB439" w14:textId="13796FE1" w:rsidR="00BF036F" w:rsidRPr="009E20DA" w:rsidRDefault="00BF036F" w:rsidP="00BF036F">
      <w:pPr>
        <w:pStyle w:val="ListParagraph"/>
        <w:numPr>
          <w:ilvl w:val="0"/>
          <w:numId w:val="4"/>
        </w:numPr>
        <w:rPr>
          <w:iCs/>
          <w:lang w:val="fr-CA"/>
        </w:rPr>
      </w:pPr>
      <w:r w:rsidRPr="009E20DA">
        <w:rPr>
          <w:b/>
          <w:bCs/>
          <w:iCs/>
          <w:lang w:val="fr-CA"/>
        </w:rPr>
        <w:t xml:space="preserve">Assurer la conformité réglementaire : </w:t>
      </w:r>
      <w:r w:rsidRPr="009E20DA">
        <w:rPr>
          <w:iCs/>
          <w:lang w:val="fr-CA"/>
        </w:rPr>
        <w:t>Respecter les lois et réglementations applicables de</w:t>
      </w:r>
      <w:r w:rsidR="006F6434">
        <w:rPr>
          <w:iCs/>
          <w:lang w:val="fr-CA"/>
        </w:rPr>
        <w:t>s autorités compétentes</w:t>
      </w:r>
      <w:r w:rsidRPr="009E20DA">
        <w:rPr>
          <w:iCs/>
          <w:lang w:val="fr-CA"/>
        </w:rPr>
        <w:t>, y compris la protection des informations personnelles et les documents électroniques, afin de maintenir des normes juridiques et éthiques.</w:t>
      </w:r>
    </w:p>
    <w:p w14:paraId="1037B3DE" w14:textId="722F3783" w:rsidR="00BF036F" w:rsidRPr="009E20DA" w:rsidRDefault="00BF036F" w:rsidP="00BF036F">
      <w:pPr>
        <w:pStyle w:val="ListParagraph"/>
        <w:numPr>
          <w:ilvl w:val="0"/>
          <w:numId w:val="4"/>
        </w:numPr>
        <w:rPr>
          <w:iCs/>
          <w:lang w:val="fr-CA"/>
        </w:rPr>
      </w:pPr>
      <w:r w:rsidRPr="009E20DA">
        <w:rPr>
          <w:b/>
          <w:bCs/>
          <w:iCs/>
          <w:lang w:val="fr-CA"/>
        </w:rPr>
        <w:t>Définir les responsabilités en matière de sécurité :</w:t>
      </w:r>
      <w:r w:rsidRPr="009E20DA">
        <w:rPr>
          <w:iCs/>
          <w:lang w:val="fr-CA"/>
        </w:rPr>
        <w:t xml:space="preserve"> Délimiter clairement les rôles et les responsabilités en matière de cybersécurité à tous les niveaux de l'organisation afin de favoriser la responsabilisation et la gestion proactive des risques.</w:t>
      </w:r>
    </w:p>
    <w:p w14:paraId="43FC183A" w14:textId="1BE19D81" w:rsidR="00BF036F" w:rsidRPr="009E20DA" w:rsidRDefault="00BF036F" w:rsidP="00BF036F">
      <w:pPr>
        <w:pStyle w:val="ListParagraph"/>
        <w:numPr>
          <w:ilvl w:val="0"/>
          <w:numId w:val="4"/>
        </w:numPr>
        <w:rPr>
          <w:iCs/>
          <w:lang w:val="fr-CA"/>
        </w:rPr>
      </w:pPr>
      <w:r w:rsidRPr="009E20DA">
        <w:rPr>
          <w:b/>
          <w:bCs/>
          <w:iCs/>
          <w:lang w:val="fr-CA"/>
        </w:rPr>
        <w:t>Promouvoir la sensibilisation à la sécurité :</w:t>
      </w:r>
      <w:r w:rsidRPr="009E20DA">
        <w:rPr>
          <w:iCs/>
          <w:lang w:val="fr-CA"/>
        </w:rPr>
        <w:t xml:space="preserve"> Cultiver une culture de la sensibilisation à la sécurité par des formations régulières, en donnant aux employés les moyens de reconnaître les cybermenaces potentielles et d'y répondre efficacement.</w:t>
      </w:r>
    </w:p>
    <w:p w14:paraId="393A34F9" w14:textId="3A421FDF" w:rsidR="00BF036F" w:rsidRPr="009E20DA" w:rsidRDefault="00BF036F" w:rsidP="00BF036F">
      <w:pPr>
        <w:pStyle w:val="ListParagraph"/>
        <w:numPr>
          <w:ilvl w:val="0"/>
          <w:numId w:val="4"/>
        </w:numPr>
        <w:rPr>
          <w:iCs/>
          <w:lang w:val="fr-CA"/>
        </w:rPr>
      </w:pPr>
      <w:r w:rsidRPr="009E20DA">
        <w:rPr>
          <w:b/>
          <w:bCs/>
          <w:iCs/>
          <w:lang w:val="fr-CA"/>
        </w:rPr>
        <w:t>Faciliter la réponse aux incidents :</w:t>
      </w:r>
      <w:r w:rsidRPr="009E20DA">
        <w:rPr>
          <w:iCs/>
          <w:lang w:val="fr-CA"/>
        </w:rPr>
        <w:t xml:space="preserve"> Établir des protocoles pour la détection, le signalement et la réponse rapide aux incidents de cybersécurité afin de minimiser l'impact et de favoriser un rétablissement rapide.</w:t>
      </w:r>
    </w:p>
    <w:p w14:paraId="090F0E60" w14:textId="20AEB7F1" w:rsidR="00BF036F" w:rsidRPr="009E20DA" w:rsidRDefault="00BF036F" w:rsidP="00BF036F">
      <w:pPr>
        <w:ind w:left="0"/>
        <w:rPr>
          <w:iCs/>
          <w:lang w:val="fr-CA"/>
        </w:rPr>
      </w:pPr>
      <w:r w:rsidRPr="009E20DA">
        <w:rPr>
          <w:iCs/>
          <w:lang w:val="fr-CA"/>
        </w:rPr>
        <w:t xml:space="preserve">En atteignant ces objectifs, </w:t>
      </w:r>
      <w:r w:rsidRPr="009E20DA">
        <w:rPr>
          <w:iCs/>
          <w:color w:val="0070C0"/>
          <w:lang w:val="fr-CA"/>
        </w:rPr>
        <w:t xml:space="preserve">[Nom de l'organisation] </w:t>
      </w:r>
      <w:r w:rsidRPr="009E20DA">
        <w:rPr>
          <w:iCs/>
          <w:lang w:val="fr-CA"/>
        </w:rPr>
        <w:t>vise à protéger son infrastructure numérique, à soutenir la continuité des activités et à préserver la confiance des clients, des partenaires et des parties prenantes.</w:t>
      </w:r>
    </w:p>
    <w:p w14:paraId="20ED4B12" w14:textId="61C6D648" w:rsidR="0045653B" w:rsidRPr="009E20DA" w:rsidRDefault="00742812" w:rsidP="00197997">
      <w:pPr>
        <w:ind w:left="0"/>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1672D762" wp14:editId="08A208F6">
                <wp:simplePos x="0" y="0"/>
                <wp:positionH relativeFrom="column">
                  <wp:posOffset>-83820</wp:posOffset>
                </wp:positionH>
                <wp:positionV relativeFrom="paragraph">
                  <wp:posOffset>460375</wp:posOffset>
                </wp:positionV>
                <wp:extent cx="6004560" cy="556260"/>
                <wp:effectExtent l="0" t="0" r="0" b="0"/>
                <wp:wrapTopAndBottom/>
                <wp:docPr id="1096137134" name="Text Box 1"/>
                <wp:cNvGraphicFramePr/>
                <a:graphic xmlns:a="http://schemas.openxmlformats.org/drawingml/2006/main">
                  <a:graphicData uri="http://schemas.microsoft.com/office/word/2010/wordprocessingShape">
                    <wps:wsp>
                      <wps:cNvSpPr txBox="1"/>
                      <wps:spPr>
                        <a:xfrm>
                          <a:off x="0" y="0"/>
                          <a:ext cx="6004560" cy="556260"/>
                        </a:xfrm>
                        <a:prstGeom prst="rect">
                          <a:avLst/>
                        </a:prstGeom>
                        <a:solidFill>
                          <a:srgbClr val="FFFFFF">
                            <a:lumMod val="95000"/>
                          </a:srgbClr>
                        </a:solidFill>
                        <a:ln w="6350">
                          <a:noFill/>
                        </a:ln>
                      </wps:spPr>
                      <wps:txbx>
                        <w:txbxContent>
                          <w:p w14:paraId="4726F4F8" w14:textId="1D402C96" w:rsidR="0045653B" w:rsidRPr="009E20DA" w:rsidRDefault="0045653B" w:rsidP="0045653B">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définir l'applicabilité de la politique, en précisant les systèmes d'information, les données, les employés, les sous-traitants et les tiers soumis à la politique.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D762" id="_x0000_s1027" type="#_x0000_t202" style="position:absolute;margin-left:-6.6pt;margin-top:36.25pt;width:472.8pt;height:4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" fillcolor="#f2f2f2" stroked="f" strokeweight=".5pt">
                <v:textbox>
                  <w:txbxContent>
                    <w:p w14:paraId="4726F4F8" w14:textId="1D402C96" w:rsidR="0045653B" w:rsidRPr="009E20DA" w:rsidRDefault="0045653B" w:rsidP="0045653B">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définir l'applicabilité de la politique, en précisant les systèmes d'information, les données, les employés, les sous-traitants et les tiers soumis à la politique.</w:t>
                      </w:r>
                    </w:p>
                  </w:txbxContent>
                </v:textbox>
                <w10:wrap type="topAndBottom"/>
              </v:shape>
            </w:pict>
          </mc:Fallback>
        </mc:AlternateContent>
      </w:r>
    </w:p>
    <w:p w14:paraId="13118879" w14:textId="2D310A89" w:rsidR="0045653B" w:rsidRPr="009E20DA" w:rsidRDefault="0045653B" w:rsidP="00197997">
      <w:pPr>
        <w:ind w:left="0"/>
        <w:rPr>
          <w:color w:val="0070C0"/>
          <w:lang w:val="fr-CA"/>
        </w:rPr>
      </w:pPr>
    </w:p>
    <w:p w14:paraId="5FB9EF7E" w14:textId="0B7FF76C" w:rsidR="00197997" w:rsidRPr="009E20DA" w:rsidRDefault="00DB0052" w:rsidP="00197997">
      <w:pPr>
        <w:pStyle w:val="Heading1"/>
        <w:rPr>
          <w:lang w:val="fr-CA"/>
        </w:rPr>
      </w:pPr>
      <w:bookmarkStart w:id="7" w:name="_Hlk183699115"/>
      <w:r w:rsidRPr="009E20DA">
        <w:rPr>
          <w:lang w:val="fr-CA"/>
        </w:rPr>
        <w:t>Champ d'application de la politique de confidentialité des données</w:t>
      </w:r>
    </w:p>
    <w:bookmarkEnd w:id="7"/>
    <w:p w14:paraId="0DB1F73D" w14:textId="423FA147" w:rsidR="001F7652" w:rsidRPr="009E20DA" w:rsidRDefault="00030B57" w:rsidP="001F7652">
      <w:pPr>
        <w:rPr>
          <w:color w:val="0070C0"/>
          <w:lang w:val="fr-CA"/>
        </w:rPr>
      </w:pPr>
      <w:r>
        <w:rPr>
          <w:color w:val="0070C0"/>
        </w:rPr>
        <w:fldChar w:fldCharType="begin">
          <w:ffData>
            <w:name w:val=""/>
            <w:enabled/>
            <w:calcOnExit w:val="0"/>
            <w:textInput>
              <w:default w:val="[Insert Data Privacy Policy Scope]"/>
            </w:textInput>
          </w:ffData>
        </w:fldChar>
      </w:r>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[Insérer le champ d'application de la politique de confidentialité des données]</w:t>
      </w:r>
      <w:r>
        <w:rPr>
          <w:color w:val="0070C0"/>
        </w:rPr>
        <w:fldChar w:fldCharType="end"/>
      </w:r>
    </w:p>
    <w:p w14:paraId="3935E43C" w14:textId="2F57C8A2" w:rsidR="00D27578" w:rsidRPr="009E20DA" w:rsidRDefault="00D27578" w:rsidP="00B5169B">
      <w:pPr>
        <w:rPr>
          <w:color w:val="0070C0"/>
          <w:lang w:val="fr-CA"/>
        </w:rPr>
      </w:pPr>
    </w:p>
    <w:p w14:paraId="4793EF12" w14:textId="0A546D94" w:rsidR="0039487E" w:rsidRPr="00742812" w:rsidRDefault="0039487E" w:rsidP="0039487E">
      <w:pPr>
        <w:ind w:left="0"/>
        <w:rPr>
          <w:iCs/>
        </w:rPr>
      </w:pPr>
      <w:r w:rsidRPr="009E20DA">
        <w:rPr>
          <w:iCs/>
          <w:lang w:val="fr-CA"/>
        </w:rPr>
        <w:t xml:space="preserve">Le champ d'application de la présente politique de cybersécurité englobe toutes les personnes et tous les systèmes qui interagissent avec les actifs informationnels de </w:t>
      </w:r>
      <w:r w:rsidRPr="009E20DA">
        <w:rPr>
          <w:iCs/>
          <w:color w:val="0070C0"/>
          <w:lang w:val="fr-CA"/>
        </w:rPr>
        <w:t>[Nom de l'organisation].</w:t>
      </w:r>
      <w:r w:rsidRPr="009E20DA">
        <w:rPr>
          <w:iCs/>
          <w:lang w:val="fr-CA"/>
        </w:rPr>
        <w:t xml:space="preserve"> </w:t>
      </w:r>
      <w:r w:rsidRPr="00742812">
        <w:rPr>
          <w:iCs/>
        </w:rPr>
        <w:t xml:space="preserve">Plus </w:t>
      </w:r>
      <w:proofErr w:type="spellStart"/>
      <w:r w:rsidRPr="00742812">
        <w:rPr>
          <w:iCs/>
        </w:rPr>
        <w:t>précisément</w:t>
      </w:r>
      <w:proofErr w:type="spellEnd"/>
      <w:r w:rsidRPr="00742812">
        <w:rPr>
          <w:iCs/>
        </w:rPr>
        <w:t xml:space="preserve">, </w:t>
      </w:r>
      <w:proofErr w:type="spellStart"/>
      <w:r w:rsidRPr="00742812">
        <w:rPr>
          <w:iCs/>
        </w:rPr>
        <w:t>elle</w:t>
      </w:r>
      <w:proofErr w:type="spellEnd"/>
      <w:r w:rsidRPr="00742812">
        <w:rPr>
          <w:iCs/>
        </w:rPr>
        <w:t xml:space="preserve"> </w:t>
      </w:r>
      <w:proofErr w:type="spellStart"/>
      <w:r w:rsidRPr="00742812">
        <w:rPr>
          <w:iCs/>
        </w:rPr>
        <w:t>s'applique</w:t>
      </w:r>
      <w:proofErr w:type="spellEnd"/>
      <w:r w:rsidRPr="00742812">
        <w:rPr>
          <w:iCs/>
        </w:rPr>
        <w:t xml:space="preserve"> à</w:t>
      </w:r>
      <w:r w:rsidR="000A0107">
        <w:rPr>
          <w:iCs/>
        </w:rPr>
        <w:t>:</w:t>
      </w:r>
    </w:p>
    <w:p w14:paraId="1147514B" w14:textId="77777777" w:rsidR="0039487E" w:rsidRPr="009E20DA" w:rsidRDefault="0039487E" w:rsidP="0039487E">
      <w:pPr>
        <w:pStyle w:val="ListParagraph"/>
        <w:numPr>
          <w:ilvl w:val="0"/>
          <w:numId w:val="6"/>
        </w:numPr>
        <w:rPr>
          <w:iCs/>
          <w:color w:val="0070C0"/>
          <w:lang w:val="fr-CA"/>
        </w:rPr>
      </w:pPr>
      <w:r w:rsidRPr="009E20DA">
        <w:rPr>
          <w:iCs/>
          <w:color w:val="0070C0"/>
          <w:lang w:val="fr-CA"/>
        </w:rPr>
        <w:lastRenderedPageBreak/>
        <w:t>Le personnel : Tous les employés, contractants, consultants, personnel temporaire, bénévoles et toute autre personne autorisée à accéder aux systèmes d'information et aux données de [Nom de l'organisation].</w:t>
      </w:r>
    </w:p>
    <w:p w14:paraId="78067638" w14:textId="3F5753EB" w:rsidR="0039487E" w:rsidRPr="009E20DA" w:rsidRDefault="0039487E" w:rsidP="0039487E">
      <w:pPr>
        <w:pStyle w:val="ListParagraph"/>
        <w:numPr>
          <w:ilvl w:val="0"/>
          <w:numId w:val="6"/>
        </w:numPr>
        <w:rPr>
          <w:iCs/>
          <w:color w:val="0070C0"/>
          <w:lang w:val="fr-CA"/>
        </w:rPr>
      </w:pPr>
      <w:r w:rsidRPr="009E20DA">
        <w:rPr>
          <w:iCs/>
          <w:color w:val="0070C0"/>
          <w:lang w:val="fr-CA"/>
        </w:rPr>
        <w:t>Actifs informationnels : Toutes les données, électroniques ou physiques, détenues, gérées ou traitées par [Nom de l'organisation], y compris les informations confidentielles, sensibles et personnelles.</w:t>
      </w:r>
    </w:p>
    <w:p w14:paraId="2AF24997" w14:textId="3F9B3A76" w:rsidR="0039487E" w:rsidRPr="009E20DA" w:rsidRDefault="0039487E" w:rsidP="0039487E">
      <w:pPr>
        <w:pStyle w:val="ListParagraph"/>
        <w:numPr>
          <w:ilvl w:val="0"/>
          <w:numId w:val="6"/>
        </w:numPr>
        <w:rPr>
          <w:iCs/>
          <w:color w:val="0070C0"/>
          <w:lang w:val="fr-CA"/>
        </w:rPr>
      </w:pPr>
      <w:r w:rsidRPr="009E20DA">
        <w:rPr>
          <w:iCs/>
          <w:color w:val="0070C0"/>
          <w:lang w:val="fr-CA"/>
        </w:rPr>
        <w:t>Systèmes d'information : L'ensemble du matériel, des logiciels, des réseaux, des applications et des dispositifs (appartenant à l'organisation ou personnels) qui accèdent aux données de [Nom de l'organisation] ou les traitent.</w:t>
      </w:r>
    </w:p>
    <w:p w14:paraId="2BFDFA73" w14:textId="48A86464" w:rsidR="0039487E" w:rsidRPr="009E20DA" w:rsidRDefault="0039487E" w:rsidP="0039487E">
      <w:pPr>
        <w:ind w:left="0"/>
        <w:rPr>
          <w:iCs/>
          <w:lang w:val="fr-CA"/>
        </w:rPr>
      </w:pPr>
      <w:r w:rsidRPr="009E20DA">
        <w:rPr>
          <w:iCs/>
          <w:lang w:val="fr-CA"/>
        </w:rPr>
        <w:t xml:space="preserve">Cette politique s'applique à tous les environnements opérationnels, y compris les sites sur place, les environnements de travail à distance et tout autre scénario dans lequel les ressources d'information de </w:t>
      </w:r>
      <w:r w:rsidRPr="009E20DA">
        <w:rPr>
          <w:iCs/>
          <w:color w:val="0070C0"/>
          <w:lang w:val="fr-CA"/>
        </w:rPr>
        <w:t xml:space="preserve">[Nom de l'organisation] </w:t>
      </w:r>
      <w:r w:rsidRPr="009E20DA">
        <w:rPr>
          <w:iCs/>
          <w:lang w:val="fr-CA"/>
        </w:rPr>
        <w:t xml:space="preserve">sont accessibles ou utilisées. L'adhésion à cette politique est obligatoire pour toutes les parties susmentionnées afin de garantir la sécurité et l'intégrité des ressources d'information de </w:t>
      </w:r>
      <w:r w:rsidRPr="009E20DA">
        <w:rPr>
          <w:iCs/>
          <w:color w:val="0070C0"/>
          <w:lang w:val="fr-CA"/>
        </w:rPr>
        <w:t>[Nom de l'organisation].</w:t>
      </w:r>
    </w:p>
    <w:p w14:paraId="0E0DF780" w14:textId="7EB9FF98" w:rsidR="0045653B" w:rsidRPr="009E20DA" w:rsidRDefault="0045653B" w:rsidP="00B5169B">
      <w:pPr>
        <w:rPr>
          <w:color w:val="0070C0"/>
          <w:lang w:val="fr-CA"/>
        </w:rPr>
      </w:pPr>
    </w:p>
    <w:p w14:paraId="0BAADF71" w14:textId="273D7487" w:rsidR="0045653B" w:rsidRPr="009E20DA" w:rsidRDefault="00C926B3" w:rsidP="00B5169B">
      <w:pPr>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66B6DE2C" wp14:editId="166D2B4E">
                <wp:simplePos x="0" y="0"/>
                <wp:positionH relativeFrom="margin">
                  <wp:posOffset>-118745</wp:posOffset>
                </wp:positionH>
                <wp:positionV relativeFrom="paragraph">
                  <wp:posOffset>280035</wp:posOffset>
                </wp:positionV>
                <wp:extent cx="6214110" cy="694055"/>
                <wp:effectExtent l="0" t="0" r="0" b="0"/>
                <wp:wrapTopAndBottom/>
                <wp:docPr id="1691518623" name="Text Box 1"/>
                <wp:cNvGraphicFramePr/>
                <a:graphic xmlns:a="http://schemas.openxmlformats.org/drawingml/2006/main">
                  <a:graphicData uri="http://schemas.microsoft.com/office/word/2010/wordprocessingShape">
                    <wps:wsp>
                      <wps:cNvSpPr txBox="1"/>
                      <wps:spPr>
                        <a:xfrm>
                          <a:off x="0" y="0"/>
                          <a:ext cx="6214110" cy="694055"/>
                        </a:xfrm>
                        <a:prstGeom prst="rect">
                          <a:avLst/>
                        </a:prstGeom>
                        <a:solidFill>
                          <a:srgbClr val="FFFFFF">
                            <a:lumMod val="95000"/>
                          </a:srgbClr>
                        </a:solidFill>
                        <a:ln w="6350">
                          <a:noFill/>
                        </a:ln>
                      </wps:spPr>
                      <wps:txbx>
                        <w:txbxContent>
                          <w:p w14:paraId="618EB88E" w14:textId="13499B2C" w:rsidR="00DB0052" w:rsidRPr="009E20DA" w:rsidRDefault="00DB0052" w:rsidP="00DB0052">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présenter les objectifs de la politique de cybersécurité, notamment la protection des actifs informationnels, le respect des exigences légales et l'établissement des responsabilités en matière de sécurité au sein de l'organisation.</w:t>
                            </w:r>
                          </w:p>
                          <w:p w14:paraId="1FDACB73" w14:textId="43E12BB7" w:rsidR="00DB0052" w:rsidRPr="009E20DA" w:rsidRDefault="00DB0052" w:rsidP="00DB0052">
                            <w:pPr>
                              <w:ind w:left="0"/>
                              <w:rPr>
                                <w:i/>
                                <w:color w:val="595959" w:themeColor="text1" w:themeTint="A6"/>
                                <w:sz w:val="20"/>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6DE2C" id="_x0000_s1028" type="#_x0000_t202" style="position:absolute;left:0;text-align:left;margin-left:-9.35pt;margin-top:22.05pt;width:489.3pt;height:54.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" fillcolor="#f2f2f2" stroked="f" strokeweight=".5pt">
                <v:textbox>
                  <w:txbxContent>
                    <w:p w14:paraId="618EB88E" w14:textId="13499B2C" w:rsidR="00DB0052" w:rsidRPr="009E20DA" w:rsidRDefault="00DB0052" w:rsidP="00DB0052">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présenter les objectifs de la politique de cybersécurité, notamment la protection des actifs informationnels, le respect des exigences légales et l'établissement des responsabilités en matière de sécurité au sein de l'organisation.</w:t>
                      </w:r>
                    </w:p>
                    <w:p w14:paraId="1FDACB73" w14:textId="43E12BB7" w:rsidR="00DB0052" w:rsidRPr="009E20DA" w:rsidRDefault="00DB0052" w:rsidP="00DB0052">
                      <w:pPr>
                        <w:ind w:left="0"/>
                        <w:rPr>
                          <w:i/>
                          <w:color w:val="595959" w:themeColor="text1" w:themeTint="A6"/>
                          <w:sz w:val="20"/>
                          <w:szCs w:val="20"/>
                          <w:lang w:val="fr-CA"/>
                        </w:rPr>
                      </w:pPr>
                    </w:p>
                  </w:txbxContent>
                </v:textbox>
                <w10:wrap type="topAndBottom" anchorx="margin"/>
              </v:shape>
            </w:pict>
          </mc:Fallback>
        </mc:AlternateContent>
      </w:r>
    </w:p>
    <w:p w14:paraId="6E6743D4" w14:textId="231BB234" w:rsidR="0045653B" w:rsidRPr="009E20DA" w:rsidRDefault="0045653B" w:rsidP="00F24C4C">
      <w:pPr>
        <w:ind w:left="0"/>
        <w:rPr>
          <w:color w:val="0070C0"/>
          <w:lang w:val="fr-CA"/>
        </w:rPr>
      </w:pPr>
    </w:p>
    <w:p w14:paraId="553FB948" w14:textId="65D27AB0" w:rsidR="00D27578" w:rsidRDefault="00030B57" w:rsidP="00D27578">
      <w:pPr>
        <w:pStyle w:val="Heading1"/>
      </w:pPr>
      <w:bookmarkStart w:id="8" w:name="_Hlk183701028"/>
      <w:r w:rsidRPr="00030B57">
        <w:t>Définitions</w:t>
      </w:r>
    </w:p>
    <w:p w14:paraId="08B3D4BA" w14:textId="517B9267" w:rsidR="00D27578" w:rsidRDefault="00F83DFF" w:rsidP="00D27578">
      <w:pPr>
        <w:rPr>
          <w:color w:val="0070C0"/>
        </w:rPr>
      </w:pPr>
      <w:r>
        <w:rPr>
          <w:color w:val="0070C0"/>
        </w:rPr>
        <w:fldChar w:fldCharType="begin">
          <w:ffData>
            <w:name w:val=""/>
            <w:enabled/>
            <w:calcOnExit w:val="0"/>
            <w:textInput>
              <w:default w:val="[Insert Definitions]"/>
            </w:textInput>
          </w:ffData>
        </w:fldChar>
      </w:r>
      <w:r>
        <w:rPr>
          <w:color w:val="0070C0"/>
        </w:rPr>
        <w:instrText xml:space="preserve"> FORMTEXT </w:instrText>
      </w:r>
      <w:r>
        <w:rPr>
          <w:color w:val="0070C0"/>
        </w:rPr>
      </w:r>
      <w:r>
        <w:rPr>
          <w:color w:val="0070C0"/>
        </w:rPr>
        <w:fldChar w:fldCharType="separate"/>
      </w:r>
      <w:r>
        <w:rPr>
          <w:noProof/>
          <w:color w:val="0070C0"/>
        </w:rPr>
        <w:t>[Insérer les définitions]</w:t>
      </w:r>
      <w:r>
        <w:rPr>
          <w:color w:val="0070C0"/>
        </w:rPr>
        <w:fldChar w:fldCharType="end"/>
      </w:r>
    </w:p>
    <w:bookmarkEnd w:id="8"/>
    <w:p w14:paraId="5E0CBB7C" w14:textId="63B0A3FB" w:rsidR="0069057D" w:rsidRDefault="0069057D" w:rsidP="00197997">
      <w:pPr>
        <w:ind w:left="0"/>
        <w:rPr>
          <w:color w:val="0070C0"/>
        </w:rPr>
      </w:pPr>
    </w:p>
    <w:p w14:paraId="3CD5DFD4" w14:textId="0676B33A" w:rsidR="00971A08" w:rsidRPr="009E20DA" w:rsidRDefault="00971A08" w:rsidP="00971A08">
      <w:pPr>
        <w:ind w:left="0"/>
        <w:rPr>
          <w:iCs/>
          <w:lang w:val="fr-CA"/>
        </w:rPr>
      </w:pPr>
      <w:r w:rsidRPr="009E20DA">
        <w:rPr>
          <w:iCs/>
          <w:lang w:val="fr-CA"/>
        </w:rPr>
        <w:t xml:space="preserve">Dans le cadre de la politique de cybersécurité de </w:t>
      </w:r>
      <w:r w:rsidRPr="009E20DA">
        <w:rPr>
          <w:iCs/>
          <w:color w:val="0070C0"/>
          <w:lang w:val="fr-CA"/>
        </w:rPr>
        <w:t>[Nom de l'organisation]</w:t>
      </w:r>
      <w:r w:rsidRPr="009E20DA">
        <w:rPr>
          <w:iCs/>
          <w:lang w:val="fr-CA"/>
        </w:rPr>
        <w:t>, les définitions suivantes clarifient les termes clés :</w:t>
      </w:r>
    </w:p>
    <w:p w14:paraId="73F8A8BF" w14:textId="5D2AA75F" w:rsidR="00971A08" w:rsidRPr="009E20DA" w:rsidRDefault="00971A08" w:rsidP="00971A08">
      <w:pPr>
        <w:pStyle w:val="ListParagraph"/>
        <w:numPr>
          <w:ilvl w:val="0"/>
          <w:numId w:val="5"/>
        </w:numPr>
        <w:rPr>
          <w:iCs/>
          <w:color w:val="0070C0"/>
          <w:lang w:val="fr-CA"/>
        </w:rPr>
      </w:pPr>
      <w:r w:rsidRPr="009E20DA">
        <w:rPr>
          <w:iCs/>
          <w:color w:val="0070C0"/>
          <w:lang w:val="fr-CA"/>
        </w:rPr>
        <w:t>Contrôle d'accès : Mécanismes qui limitent l'accès aux systèmes d'information et aux données aux utilisateurs, processus ou dispositifs autorisés, en veillant à ce que seules les activités permises soient exécutées.</w:t>
      </w:r>
    </w:p>
    <w:p w14:paraId="256E9456" w14:textId="15A9CA50" w:rsidR="00971A08" w:rsidRPr="009E20DA" w:rsidRDefault="00971A08" w:rsidP="00971A08">
      <w:pPr>
        <w:pStyle w:val="ListParagraph"/>
        <w:numPr>
          <w:ilvl w:val="0"/>
          <w:numId w:val="5"/>
        </w:numPr>
        <w:rPr>
          <w:iCs/>
          <w:color w:val="0070C0"/>
          <w:lang w:val="fr-CA"/>
        </w:rPr>
      </w:pPr>
      <w:r w:rsidRPr="009E20DA">
        <w:rPr>
          <w:iCs/>
          <w:color w:val="0070C0"/>
          <w:lang w:val="fr-CA"/>
        </w:rPr>
        <w:t>Informations confidentielles : Données dont l'accès est limité aux personnes autorisées en raison de leur caractère sensible, y compris les données personnelles, les informations commerciales exclusives et toute autre information classée comme confidentielle par [Nom de l'organisation].</w:t>
      </w:r>
    </w:p>
    <w:p w14:paraId="1E3D5EEB" w14:textId="1981C26B" w:rsidR="00971A08" w:rsidRPr="009E20DA" w:rsidRDefault="00971A08" w:rsidP="00971A08">
      <w:pPr>
        <w:pStyle w:val="ListParagraph"/>
        <w:numPr>
          <w:ilvl w:val="0"/>
          <w:numId w:val="5"/>
        </w:numPr>
        <w:rPr>
          <w:iCs/>
          <w:color w:val="0070C0"/>
          <w:lang w:val="fr-CA"/>
        </w:rPr>
      </w:pPr>
      <w:r w:rsidRPr="009E20DA">
        <w:rPr>
          <w:iCs/>
          <w:color w:val="0070C0"/>
          <w:lang w:val="fr-CA"/>
        </w:rPr>
        <w:t>Incident de cybersécurité : Un événement qui compromet la confidentialité, l'intégrité ou la disponibilité des systèmes d'information ou des données, tel qu'un accès non autorisé, une violation des données ou une attaque de logiciels malveillants.</w:t>
      </w:r>
    </w:p>
    <w:p w14:paraId="336F0F46" w14:textId="08F305FD" w:rsidR="00971A08" w:rsidRPr="009E20DA" w:rsidRDefault="00971A08" w:rsidP="00971A08">
      <w:pPr>
        <w:pStyle w:val="ListParagraph"/>
        <w:numPr>
          <w:ilvl w:val="0"/>
          <w:numId w:val="5"/>
        </w:numPr>
        <w:rPr>
          <w:iCs/>
          <w:color w:val="0070C0"/>
          <w:lang w:val="fr-CA"/>
        </w:rPr>
      </w:pPr>
      <w:r w:rsidRPr="009E20DA">
        <w:rPr>
          <w:iCs/>
          <w:color w:val="0070C0"/>
          <w:lang w:val="fr-CA"/>
        </w:rPr>
        <w:t>Cryptage des données : Le processus de conversion des données dans un format codé pour empêcher l'accès non autorisé pendant la transmission ou le stockage.</w:t>
      </w:r>
    </w:p>
    <w:p w14:paraId="46A9C938" w14:textId="77777777" w:rsidR="00971A08" w:rsidRPr="009E20DA" w:rsidRDefault="00971A08" w:rsidP="00971A08">
      <w:pPr>
        <w:pStyle w:val="ListParagraph"/>
        <w:numPr>
          <w:ilvl w:val="0"/>
          <w:numId w:val="5"/>
        </w:numPr>
        <w:rPr>
          <w:iCs/>
          <w:color w:val="0070C0"/>
          <w:lang w:val="fr-CA"/>
        </w:rPr>
      </w:pPr>
      <w:r w:rsidRPr="009E20DA">
        <w:rPr>
          <w:iCs/>
          <w:color w:val="0070C0"/>
          <w:lang w:val="fr-CA"/>
        </w:rPr>
        <w:t>Actifs informationnels : Toutes les données, le matériel, les logiciels et les autres composants que [Nom de l'organisation] utilise pour mener à bien ses activités.</w:t>
      </w:r>
    </w:p>
    <w:p w14:paraId="7A994C8C" w14:textId="77777777" w:rsidR="00971A08" w:rsidRPr="009E20DA" w:rsidRDefault="00971A08" w:rsidP="00971A08">
      <w:pPr>
        <w:pStyle w:val="ListParagraph"/>
        <w:numPr>
          <w:ilvl w:val="0"/>
          <w:numId w:val="5"/>
        </w:numPr>
        <w:rPr>
          <w:iCs/>
          <w:color w:val="0070C0"/>
          <w:lang w:val="fr-CA"/>
        </w:rPr>
      </w:pPr>
      <w:r w:rsidRPr="009E20DA">
        <w:rPr>
          <w:iCs/>
          <w:color w:val="0070C0"/>
          <w:lang w:val="fr-CA"/>
        </w:rPr>
        <w:t>Données personnelles : Informations concernant une personne identifiable, y compris, mais sans s'y limiter, les coordonnées, les numéros d'identification et toute donnée permettant d'identifier une personne de manière unique.</w:t>
      </w:r>
    </w:p>
    <w:p w14:paraId="661A8394" w14:textId="77777777" w:rsidR="00971A08" w:rsidRPr="009E20DA" w:rsidRDefault="00971A08" w:rsidP="00971A08">
      <w:pPr>
        <w:pStyle w:val="ListParagraph"/>
        <w:numPr>
          <w:ilvl w:val="0"/>
          <w:numId w:val="5"/>
        </w:numPr>
        <w:rPr>
          <w:iCs/>
          <w:color w:val="0070C0"/>
          <w:lang w:val="fr-CA"/>
        </w:rPr>
      </w:pPr>
      <w:r w:rsidRPr="009E20DA">
        <w:rPr>
          <w:iCs/>
          <w:color w:val="0070C0"/>
          <w:lang w:val="fr-CA"/>
        </w:rPr>
        <w:t>Évaluation des risques : Le processus systématique d'identification, d'évaluation et de hiérarchisation des risques pour les opérations et les actifs de l'organisation.</w:t>
      </w:r>
    </w:p>
    <w:p w14:paraId="2236B430" w14:textId="6056D08D" w:rsidR="00971A08" w:rsidRPr="009E20DA" w:rsidRDefault="00971A08" w:rsidP="00971A08">
      <w:pPr>
        <w:pStyle w:val="ListParagraph"/>
        <w:numPr>
          <w:ilvl w:val="0"/>
          <w:numId w:val="5"/>
        </w:numPr>
        <w:rPr>
          <w:iCs/>
          <w:color w:val="0070C0"/>
          <w:lang w:val="fr-CA"/>
        </w:rPr>
      </w:pPr>
      <w:r w:rsidRPr="009E20DA">
        <w:rPr>
          <w:iCs/>
          <w:color w:val="0070C0"/>
          <w:lang w:val="fr-CA"/>
        </w:rPr>
        <w:lastRenderedPageBreak/>
        <w:t>Contrôles de sécurité : Les garanties ou contre-mesures employées pour protéger les systèmes d'information et les données contre les menaces à la sécurité.</w:t>
      </w:r>
    </w:p>
    <w:p w14:paraId="27AB4CBD" w14:textId="52E968D6" w:rsidR="00971A08" w:rsidRPr="009E20DA" w:rsidRDefault="00971A08" w:rsidP="00971A08">
      <w:pPr>
        <w:pStyle w:val="ListParagraph"/>
        <w:numPr>
          <w:ilvl w:val="0"/>
          <w:numId w:val="5"/>
        </w:numPr>
        <w:rPr>
          <w:iCs/>
          <w:color w:val="0070C0"/>
          <w:lang w:val="fr-CA"/>
        </w:rPr>
      </w:pPr>
      <w:r w:rsidRPr="009E20DA">
        <w:rPr>
          <w:iCs/>
          <w:color w:val="0070C0"/>
          <w:lang w:val="fr-CA"/>
        </w:rPr>
        <w:t>Tiers : Entités externes, y compris les fournisseurs, les partenaires et les prestataires de services, qui interagissent avec les systèmes d'information ou les données de [Nom de l'organisation].</w:t>
      </w:r>
    </w:p>
    <w:p w14:paraId="71ABA415" w14:textId="2C384588" w:rsidR="00971A08" w:rsidRPr="009E20DA" w:rsidRDefault="00971A08" w:rsidP="00971A08">
      <w:pPr>
        <w:ind w:left="0"/>
        <w:rPr>
          <w:iCs/>
          <w:lang w:val="fr-CA"/>
        </w:rPr>
      </w:pPr>
      <w:r w:rsidRPr="009E20DA">
        <w:rPr>
          <w:iCs/>
          <w:lang w:val="fr-CA"/>
        </w:rPr>
        <w:t xml:space="preserve">Ces définitions ont pour but de clarifier la présente politique. Pour un glossaire complet des termes relatifs à la cybersécurité, voir le glossaire de </w:t>
      </w:r>
      <w:r w:rsidR="005F2889">
        <w:rPr>
          <w:iCs/>
          <w:lang w:val="fr-CA"/>
        </w:rPr>
        <w:t xml:space="preserve">l’autorité compétente. </w:t>
      </w:r>
    </w:p>
    <w:p w14:paraId="3C1B1B71" w14:textId="118B1100" w:rsidR="0045653B" w:rsidRPr="009E20DA" w:rsidRDefault="0045653B" w:rsidP="00197997">
      <w:pPr>
        <w:ind w:left="0"/>
        <w:rPr>
          <w:color w:val="0070C0"/>
          <w:lang w:val="fr-CA"/>
        </w:rPr>
      </w:pPr>
    </w:p>
    <w:p w14:paraId="1C755D03" w14:textId="0ABCA35B" w:rsidR="0045653B" w:rsidRPr="009E20DA" w:rsidRDefault="0045653B" w:rsidP="00197997">
      <w:pPr>
        <w:ind w:left="0"/>
        <w:rPr>
          <w:color w:val="0070C0"/>
          <w:lang w:val="fr-CA"/>
        </w:rPr>
      </w:pPr>
    </w:p>
    <w:p w14:paraId="7D49F28C" w14:textId="01D38645" w:rsidR="0045653B" w:rsidRPr="009E20DA" w:rsidRDefault="00F24C4C" w:rsidP="00197997">
      <w:pPr>
        <w:ind w:left="0"/>
        <w:rPr>
          <w:color w:val="0070C0"/>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E6DDFB3" wp14:editId="7465ED51">
                <wp:simplePos x="0" y="0"/>
                <wp:positionH relativeFrom="margin">
                  <wp:posOffset>-101600</wp:posOffset>
                </wp:positionH>
                <wp:positionV relativeFrom="paragraph">
                  <wp:posOffset>236855</wp:posOffset>
                </wp:positionV>
                <wp:extent cx="6106160" cy="482600"/>
                <wp:effectExtent l="0" t="0" r="8890" b="0"/>
                <wp:wrapTopAndBottom/>
                <wp:docPr id="1548737219" name="Text Box 1"/>
                <wp:cNvGraphicFramePr/>
                <a:graphic xmlns:a="http://schemas.openxmlformats.org/drawingml/2006/main">
                  <a:graphicData uri="http://schemas.microsoft.com/office/word/2010/wordprocessingShape">
                    <wps:wsp>
                      <wps:cNvSpPr txBox="1"/>
                      <wps:spPr>
                        <a:xfrm>
                          <a:off x="0" y="0"/>
                          <a:ext cx="6106160" cy="482600"/>
                        </a:xfrm>
                        <a:prstGeom prst="rect">
                          <a:avLst/>
                        </a:prstGeom>
                        <a:solidFill>
                          <a:srgbClr val="FFFFFF">
                            <a:lumMod val="95000"/>
                          </a:srgbClr>
                        </a:solidFill>
                        <a:ln w="6350">
                          <a:noFill/>
                        </a:ln>
                      </wps:spPr>
                      <wps:txbx>
                        <w:txbxContent>
                          <w:p w14:paraId="2B4D1515" w14:textId="4EB996B5" w:rsidR="0045653B" w:rsidRPr="009E20DA" w:rsidRDefault="0045653B" w:rsidP="0045653B">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définir clairement les termes clés utilisés dans la politique, tels que "incident de cybersécurité", "informations confidentielles" et "données à caractère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DFB3" id="_x0000_s1029" type="#_x0000_t202" style="position:absolute;margin-left:-8pt;margin-top:18.65pt;width:480.8pt;height:3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" fillcolor="#f2f2f2" stroked="f" strokeweight=".5pt">
                <v:textbox>
                  <w:txbxContent>
                    <w:p w14:paraId="2B4D1515" w14:textId="4EB996B5" w:rsidR="0045653B" w:rsidRPr="009E20DA" w:rsidRDefault="0045653B" w:rsidP="0045653B">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définir clairement les termes clés utilisés dans la politique, tels que "incident de cybersécurité", "informations confidentielles" et "données à caractère personnel".</w:t>
                      </w:r>
                    </w:p>
                  </w:txbxContent>
                </v:textbox>
                <w10:wrap type="topAndBottom" anchorx="margin"/>
              </v:shape>
            </w:pict>
          </mc:Fallback>
        </mc:AlternateContent>
      </w:r>
    </w:p>
    <w:p w14:paraId="06E9828F" w14:textId="7AA5D049" w:rsidR="0045653B" w:rsidRPr="009E20DA" w:rsidRDefault="0045653B" w:rsidP="00197997">
      <w:pPr>
        <w:ind w:left="0"/>
        <w:rPr>
          <w:color w:val="0070C0"/>
          <w:lang w:val="fr-CA"/>
        </w:rPr>
      </w:pPr>
    </w:p>
    <w:p w14:paraId="6A360419" w14:textId="5CB999BF" w:rsidR="00793DCF" w:rsidRPr="009E20DA" w:rsidRDefault="00793DCF" w:rsidP="00197997">
      <w:pPr>
        <w:ind w:left="0"/>
        <w:rPr>
          <w:color w:val="0070C0"/>
          <w:lang w:val="fr-CA"/>
        </w:rPr>
      </w:pPr>
    </w:p>
    <w:p w14:paraId="52BD1AD8" w14:textId="265A1A5D" w:rsidR="001F7652" w:rsidRDefault="00793DCF" w:rsidP="001F7652">
      <w:pPr>
        <w:pStyle w:val="Heading1"/>
      </w:pPr>
      <w:r w:rsidRPr="00793DCF">
        <w:t>Conformité juridique et réglementaire</w:t>
      </w:r>
    </w:p>
    <w:p w14:paraId="3DC18DF9" w14:textId="0CAD7A50" w:rsidR="00793DCF" w:rsidRDefault="00F83DFF" w:rsidP="00793DCF">
      <w:pPr>
        <w:rPr>
          <w:color w:val="0070C0"/>
        </w:rPr>
      </w:pPr>
      <w:r>
        <w:rPr>
          <w:color w:val="0070C0"/>
        </w:rPr>
        <w:fldChar w:fldCharType="begin">
          <w:ffData>
            <w:name w:val=""/>
            <w:enabled/>
            <w:calcOnExit w:val="0"/>
            <w:textInput>
              <w:default w:val="[Insert Regulatory Compliance]"/>
            </w:textInput>
          </w:ffData>
        </w:fldChar>
      </w:r>
      <w:r>
        <w:rPr>
          <w:color w:val="0070C0"/>
        </w:rPr>
        <w:instrText xml:space="preserve"> FORMTEXT </w:instrText>
      </w:r>
      <w:r>
        <w:rPr>
          <w:color w:val="0070C0"/>
        </w:rPr>
      </w:r>
      <w:r>
        <w:rPr>
          <w:color w:val="0070C0"/>
        </w:rPr>
        <w:fldChar w:fldCharType="separate"/>
      </w:r>
      <w:r>
        <w:rPr>
          <w:noProof/>
          <w:color w:val="0070C0"/>
        </w:rPr>
        <w:t>[Insérer la conformité réglementaire]</w:t>
      </w:r>
      <w:r>
        <w:rPr>
          <w:color w:val="0070C0"/>
        </w:rPr>
        <w:fldChar w:fldCharType="end"/>
      </w:r>
    </w:p>
    <w:p w14:paraId="14AA7C93" w14:textId="3ED66B5C" w:rsidR="00384E8D" w:rsidRPr="009E20DA" w:rsidRDefault="00384E8D" w:rsidP="00384E8D">
      <w:pPr>
        <w:ind w:left="0"/>
        <w:rPr>
          <w:iCs/>
          <w:lang w:val="fr-CA"/>
        </w:rPr>
      </w:pPr>
      <w:r w:rsidRPr="009E20DA">
        <w:rPr>
          <w:iCs/>
          <w:lang w:val="fr-CA"/>
        </w:rPr>
        <w:t xml:space="preserve">La politique de cybersécurité de </w:t>
      </w:r>
      <w:r w:rsidRPr="009E20DA">
        <w:rPr>
          <w:iCs/>
          <w:color w:val="0070C0"/>
          <w:lang w:val="fr-CA"/>
        </w:rPr>
        <w:t xml:space="preserve">[Nom de l'organisation] </w:t>
      </w:r>
      <w:r w:rsidRPr="009E20DA">
        <w:rPr>
          <w:iCs/>
          <w:lang w:val="fr-CA"/>
        </w:rPr>
        <w:t>repose sur le respect des cadres juridiques et réglementaires des autorités compétentes. Cet engagement englobe le respect des principaux cadres juridiques et réglementaires suivants :</w:t>
      </w:r>
    </w:p>
    <w:p w14:paraId="6B79CE85" w14:textId="1BD01F64" w:rsidR="00384E8D" w:rsidRPr="009E20DA" w:rsidRDefault="00384E8D" w:rsidP="00384E8D">
      <w:pPr>
        <w:ind w:left="0"/>
        <w:rPr>
          <w:iCs/>
          <w:lang w:val="fr-CA"/>
        </w:rPr>
      </w:pPr>
      <w:r w:rsidRPr="009E20DA">
        <w:rPr>
          <w:iCs/>
          <w:lang w:val="fr-CA"/>
        </w:rPr>
        <w:t xml:space="preserve">1. Protection des informations personnelles et documents électroniques au sein de </w:t>
      </w:r>
      <w:r w:rsidR="00623044">
        <w:rPr>
          <w:iCs/>
          <w:lang w:val="fr-CA"/>
        </w:rPr>
        <w:t>l’autorité compétente.</w:t>
      </w:r>
    </w:p>
    <w:p w14:paraId="3AF4AA38" w14:textId="217E1E1C" w:rsidR="00384E8D" w:rsidRPr="009E20DA" w:rsidRDefault="00384E8D" w:rsidP="00384E8D">
      <w:pPr>
        <w:ind w:left="0"/>
        <w:rPr>
          <w:iCs/>
          <w:lang w:val="fr-CA"/>
        </w:rPr>
      </w:pPr>
      <w:r w:rsidRPr="009E20DA">
        <w:rPr>
          <w:iCs/>
          <w:lang w:val="fr-CA"/>
        </w:rPr>
        <w:t xml:space="preserve">2. Loi relative à la cybersécurité au sein de </w:t>
      </w:r>
      <w:r w:rsidR="00623044">
        <w:rPr>
          <w:iCs/>
          <w:lang w:val="fr-CA"/>
        </w:rPr>
        <w:t>l’autorité compétente</w:t>
      </w:r>
    </w:p>
    <w:p w14:paraId="57330161" w14:textId="07C236E1" w:rsidR="00384E8D" w:rsidRPr="009E20DA" w:rsidRDefault="00384E8D" w:rsidP="00384E8D">
      <w:pPr>
        <w:ind w:left="0"/>
        <w:rPr>
          <w:iCs/>
          <w:lang w:val="fr-CA"/>
        </w:rPr>
      </w:pPr>
      <w:r w:rsidRPr="009E20DA">
        <w:rPr>
          <w:iCs/>
          <w:lang w:val="fr-CA"/>
        </w:rPr>
        <w:t xml:space="preserve">3. Code pénal de </w:t>
      </w:r>
      <w:r w:rsidR="00623044">
        <w:rPr>
          <w:iCs/>
          <w:lang w:val="fr-CA"/>
        </w:rPr>
        <w:t>l’autorité compétente</w:t>
      </w:r>
    </w:p>
    <w:p w14:paraId="5AC8DAAD" w14:textId="6843677B" w:rsidR="00384E8D" w:rsidRPr="009E20DA" w:rsidRDefault="00384E8D" w:rsidP="00384E8D">
      <w:pPr>
        <w:ind w:left="0"/>
        <w:rPr>
          <w:iCs/>
          <w:lang w:val="fr-CA"/>
        </w:rPr>
      </w:pPr>
      <w:r w:rsidRPr="009E20DA">
        <w:rPr>
          <w:iCs/>
          <w:lang w:val="fr-CA"/>
        </w:rPr>
        <w:t xml:space="preserve">4. Législation de </w:t>
      </w:r>
      <w:r w:rsidR="00623044">
        <w:rPr>
          <w:iCs/>
          <w:lang w:val="fr-CA"/>
        </w:rPr>
        <w:t>l’autorité compétente</w:t>
      </w:r>
    </w:p>
    <w:p w14:paraId="1C44C0F0" w14:textId="6BE53C9E" w:rsidR="00384E8D" w:rsidRPr="009E20DA" w:rsidRDefault="00AB6ECA" w:rsidP="00793DCF">
      <w:pPr>
        <w:rPr>
          <w:color w:val="0070C0"/>
          <w:lang w:val="fr-CA"/>
        </w:rPr>
      </w:pPr>
      <w:r>
        <w:rPr>
          <w:noProof/>
          <w:color w:val="0070C0"/>
          <w14:ligatures w14:val="standardContextual"/>
        </w:rPr>
        <mc:AlternateContent>
          <mc:Choice Requires="wps">
            <w:drawing>
              <wp:anchor distT="0" distB="0" distL="114300" distR="114300" simplePos="0" relativeHeight="251658244" behindDoc="0" locked="0" layoutInCell="1" allowOverlap="1" wp14:anchorId="2E823DEA" wp14:editId="1F7A3191">
                <wp:simplePos x="0" y="0"/>
                <wp:positionH relativeFrom="margin">
                  <wp:align>center</wp:align>
                </wp:positionH>
                <wp:positionV relativeFrom="paragraph">
                  <wp:posOffset>244052</wp:posOffset>
                </wp:positionV>
                <wp:extent cx="6515100" cy="584200"/>
                <wp:effectExtent l="0" t="0" r="0" b="6350"/>
                <wp:wrapTopAndBottom/>
                <wp:docPr id="369184528" name="Text Box 1"/>
                <wp:cNvGraphicFramePr/>
                <a:graphic xmlns:a="http://schemas.openxmlformats.org/drawingml/2006/main">
                  <a:graphicData uri="http://schemas.microsoft.com/office/word/2010/wordprocessingShape">
                    <wps:wsp>
                      <wps:cNvSpPr txBox="1"/>
                      <wps:spPr>
                        <a:xfrm>
                          <a:off x="0" y="0"/>
                          <a:ext cx="6515100" cy="584200"/>
                        </a:xfrm>
                        <a:prstGeom prst="rect">
                          <a:avLst/>
                        </a:prstGeom>
                        <a:solidFill>
                          <a:srgbClr val="FFFFFF">
                            <a:lumMod val="95000"/>
                          </a:srgbClr>
                        </a:solidFill>
                        <a:ln w="6350">
                          <a:noFill/>
                        </a:ln>
                      </wps:spPr>
                      <wps:txbx>
                        <w:txbxContent>
                          <w:p w14:paraId="30CBF0B6" w14:textId="3EC296DF" w:rsidR="00793DCF" w:rsidRPr="009E20DA" w:rsidRDefault="00670575" w:rsidP="00793DCF">
                            <w:pPr>
                              <w:ind w:left="0"/>
                              <w:rPr>
                                <w:b/>
                                <w:bCs/>
                                <w:i/>
                                <w:color w:val="595959" w:themeColor="text1" w:themeTint="A6"/>
                                <w:sz w:val="20"/>
                                <w:szCs w:val="20"/>
                                <w:lang w:val="fr-CA"/>
                              </w:rPr>
                            </w:pPr>
                            <w:r w:rsidRPr="009E20DA">
                              <w:rPr>
                                <w:b/>
                                <w:bCs/>
                                <w:i/>
                                <w:color w:val="595959" w:themeColor="text1" w:themeTint="A6"/>
                                <w:sz w:val="20"/>
                                <w:szCs w:val="20"/>
                                <w:lang w:val="fr-CA"/>
                              </w:rPr>
                              <w:t xml:space="preserve">Fournir des </w:t>
                            </w:r>
                            <w:r w:rsidR="00C926B3" w:rsidRPr="009E20DA">
                              <w:rPr>
                                <w:b/>
                                <w:bCs/>
                                <w:i/>
                                <w:color w:val="595959" w:themeColor="text1" w:themeTint="A6"/>
                                <w:sz w:val="20"/>
                                <w:szCs w:val="20"/>
                                <w:lang w:val="fr-CA"/>
                              </w:rPr>
                              <w:t xml:space="preserve">détails </w:t>
                            </w:r>
                            <w:r w:rsidR="006E4C53" w:rsidRPr="009E20DA">
                              <w:rPr>
                                <w:b/>
                                <w:bCs/>
                                <w:i/>
                                <w:color w:val="595959" w:themeColor="text1" w:themeTint="A6"/>
                                <w:sz w:val="20"/>
                                <w:szCs w:val="20"/>
                                <w:lang w:val="fr-CA"/>
                              </w:rPr>
                              <w:t xml:space="preserve">supplémentaires </w:t>
                            </w:r>
                            <w:r w:rsidR="00C926B3" w:rsidRPr="009E20DA">
                              <w:rPr>
                                <w:b/>
                                <w:bCs/>
                                <w:i/>
                                <w:color w:val="595959" w:themeColor="text1" w:themeTint="A6"/>
                                <w:sz w:val="20"/>
                                <w:szCs w:val="20"/>
                                <w:lang w:val="fr-CA"/>
                              </w:rPr>
                              <w:t>concernant l'</w:t>
                            </w:r>
                            <w:r w:rsidR="00793DCF" w:rsidRPr="009E20DA">
                              <w:rPr>
                                <w:b/>
                                <w:bCs/>
                                <w:i/>
                                <w:color w:val="595959" w:themeColor="text1" w:themeTint="A6"/>
                                <w:sz w:val="20"/>
                                <w:szCs w:val="20"/>
                                <w:lang w:val="fr-CA"/>
                              </w:rPr>
                              <w:t xml:space="preserve">engagement de l'organisation à se conformer aux lois et réglementations pertinentes de </w:t>
                            </w:r>
                            <w:r w:rsidR="00623044">
                              <w:rPr>
                                <w:b/>
                                <w:bCs/>
                                <w:i/>
                                <w:color w:val="595959" w:themeColor="text1" w:themeTint="A6"/>
                                <w:sz w:val="20"/>
                                <w:szCs w:val="20"/>
                                <w:lang w:val="fr-CA"/>
                              </w:rPr>
                              <w:t>l’autorité compétente</w:t>
                            </w:r>
                            <w:r w:rsidR="00793DCF" w:rsidRPr="009E20DA">
                              <w:rPr>
                                <w:b/>
                                <w:bCs/>
                                <w:i/>
                                <w:color w:val="595959" w:themeColor="text1" w:themeTint="A6"/>
                                <w:sz w:val="20"/>
                                <w:szCs w:val="20"/>
                                <w:lang w:val="fr-CA"/>
                              </w:rPr>
                              <w:t>.</w:t>
                            </w:r>
                          </w:p>
                          <w:p w14:paraId="311952C5" w14:textId="55B375EC" w:rsidR="00793DCF" w:rsidRPr="009E20DA" w:rsidRDefault="00793DCF" w:rsidP="00793DCF">
                            <w:pPr>
                              <w:ind w:left="0"/>
                              <w:rPr>
                                <w:i/>
                                <w:color w:val="595959" w:themeColor="text1" w:themeTint="A6"/>
                                <w:sz w:val="18"/>
                                <w:szCs w:val="18"/>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3DEA" id="_x0000_s1030" type="#_x0000_t202" style="position:absolute;left:0;text-align:left;margin-left:0;margin-top:19.2pt;width:513pt;height:46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" fillcolor="#f2f2f2" stroked="f" strokeweight=".5pt">
                <v:textbox>
                  <w:txbxContent>
                    <w:p w14:paraId="30CBF0B6" w14:textId="3EC296DF" w:rsidR="00793DCF" w:rsidRPr="009E20DA" w:rsidRDefault="00670575" w:rsidP="00793DCF">
                      <w:pPr>
                        <w:ind w:left="0"/>
                        <w:rPr>
                          <w:b/>
                          <w:bCs/>
                          <w:i/>
                          <w:color w:val="595959" w:themeColor="text1" w:themeTint="A6"/>
                          <w:sz w:val="20"/>
                          <w:szCs w:val="20"/>
                          <w:lang w:val="fr-CA"/>
                        </w:rPr>
                      </w:pPr>
                      <w:r w:rsidRPr="009E20DA">
                        <w:rPr>
                          <w:b/>
                          <w:bCs/>
                          <w:i/>
                          <w:color w:val="595959" w:themeColor="text1" w:themeTint="A6"/>
                          <w:sz w:val="20"/>
                          <w:szCs w:val="20"/>
                          <w:lang w:val="fr-CA"/>
                        </w:rPr>
                        <w:t xml:space="preserve">Fournir des </w:t>
                      </w:r>
                      <w:r w:rsidR="00C926B3" w:rsidRPr="009E20DA">
                        <w:rPr>
                          <w:b/>
                          <w:bCs/>
                          <w:i/>
                          <w:color w:val="595959" w:themeColor="text1" w:themeTint="A6"/>
                          <w:sz w:val="20"/>
                          <w:szCs w:val="20"/>
                          <w:lang w:val="fr-CA"/>
                        </w:rPr>
                        <w:t xml:space="preserve">détails </w:t>
                      </w:r>
                      <w:r w:rsidR="006E4C53" w:rsidRPr="009E20DA">
                        <w:rPr>
                          <w:b/>
                          <w:bCs/>
                          <w:i/>
                          <w:color w:val="595959" w:themeColor="text1" w:themeTint="A6"/>
                          <w:sz w:val="20"/>
                          <w:szCs w:val="20"/>
                          <w:lang w:val="fr-CA"/>
                        </w:rPr>
                        <w:t xml:space="preserve">supplémentaires </w:t>
                      </w:r>
                      <w:r w:rsidR="00C926B3" w:rsidRPr="009E20DA">
                        <w:rPr>
                          <w:b/>
                          <w:bCs/>
                          <w:i/>
                          <w:color w:val="595959" w:themeColor="text1" w:themeTint="A6"/>
                          <w:sz w:val="20"/>
                          <w:szCs w:val="20"/>
                          <w:lang w:val="fr-CA"/>
                        </w:rPr>
                        <w:t>concernant l'</w:t>
                      </w:r>
                      <w:r w:rsidR="00793DCF" w:rsidRPr="009E20DA">
                        <w:rPr>
                          <w:b/>
                          <w:bCs/>
                          <w:i/>
                          <w:color w:val="595959" w:themeColor="text1" w:themeTint="A6"/>
                          <w:sz w:val="20"/>
                          <w:szCs w:val="20"/>
                          <w:lang w:val="fr-CA"/>
                        </w:rPr>
                        <w:t xml:space="preserve">engagement de l'organisation à se conformer aux lois et réglementations pertinentes de </w:t>
                      </w:r>
                      <w:r w:rsidR="00623044">
                        <w:rPr>
                          <w:b/>
                          <w:bCs/>
                          <w:i/>
                          <w:color w:val="595959" w:themeColor="text1" w:themeTint="A6"/>
                          <w:sz w:val="20"/>
                          <w:szCs w:val="20"/>
                          <w:lang w:val="fr-CA"/>
                        </w:rPr>
                        <w:t>l’autorité compétente</w:t>
                      </w:r>
                      <w:r w:rsidR="00793DCF" w:rsidRPr="009E20DA">
                        <w:rPr>
                          <w:b/>
                          <w:bCs/>
                          <w:i/>
                          <w:color w:val="595959" w:themeColor="text1" w:themeTint="A6"/>
                          <w:sz w:val="20"/>
                          <w:szCs w:val="20"/>
                          <w:lang w:val="fr-CA"/>
                        </w:rPr>
                        <w:t>.</w:t>
                      </w:r>
                    </w:p>
                    <w:p w14:paraId="311952C5" w14:textId="55B375EC" w:rsidR="00793DCF" w:rsidRPr="009E20DA" w:rsidRDefault="00793DCF" w:rsidP="00793DCF">
                      <w:pPr>
                        <w:ind w:left="0"/>
                        <w:rPr>
                          <w:i/>
                          <w:color w:val="595959" w:themeColor="text1" w:themeTint="A6"/>
                          <w:sz w:val="18"/>
                          <w:szCs w:val="18"/>
                          <w:lang w:val="fr-CA"/>
                        </w:rPr>
                      </w:pPr>
                    </w:p>
                  </w:txbxContent>
                </v:textbox>
                <w10:wrap type="topAndBottom" anchorx="margin"/>
              </v:shape>
            </w:pict>
          </mc:Fallback>
        </mc:AlternateContent>
      </w:r>
    </w:p>
    <w:p w14:paraId="0E2018A8" w14:textId="229976A5" w:rsidR="0045653B" w:rsidRPr="009E20DA" w:rsidRDefault="0045653B" w:rsidP="00793DCF">
      <w:pPr>
        <w:rPr>
          <w:color w:val="0070C0"/>
          <w:lang w:val="fr-CA"/>
        </w:rPr>
      </w:pPr>
    </w:p>
    <w:p w14:paraId="1638E998" w14:textId="6125DB7B" w:rsidR="001F7652" w:rsidRDefault="00793DCF" w:rsidP="001F7652">
      <w:pPr>
        <w:pStyle w:val="Heading1"/>
      </w:pPr>
      <w:bookmarkStart w:id="9" w:name="_Hlk183701138"/>
      <w:r w:rsidRPr="00793DCF">
        <w:t>Rôles et responsabilités</w:t>
      </w:r>
    </w:p>
    <w:p w14:paraId="206637E6" w14:textId="307E1656" w:rsidR="001F7652" w:rsidRPr="009E20DA" w:rsidRDefault="00F83DFF" w:rsidP="001F7652">
      <w:pPr>
        <w:rPr>
          <w:color w:val="0070C0"/>
          <w:lang w:val="fr-CA"/>
        </w:rPr>
      </w:pPr>
      <w:r>
        <w:rPr>
          <w:color w:val="0070C0"/>
        </w:rPr>
        <w:fldChar w:fldCharType="begin">
          <w:ffData>
            <w:name w:val=""/>
            <w:enabled/>
            <w:calcOnExit w:val="0"/>
            <w:textInput>
              <w:default w:val="[Insert Roles and Responsibilities]"/>
            </w:textInput>
          </w:ffData>
        </w:fldChar>
      </w:r>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[Insérer les rôles et responsabilités]</w:t>
      </w:r>
      <w:r>
        <w:rPr>
          <w:color w:val="0070C0"/>
        </w:rPr>
        <w:fldChar w:fldCharType="end"/>
      </w:r>
    </w:p>
    <w:bookmarkEnd w:id="9"/>
    <w:p w14:paraId="0E11A37A" w14:textId="3F7764B8" w:rsidR="00197997" w:rsidRPr="009E20DA" w:rsidRDefault="00197997" w:rsidP="00197997">
      <w:pPr>
        <w:ind w:left="0"/>
        <w:rPr>
          <w:color w:val="0070C0"/>
          <w:lang w:val="fr-CA"/>
        </w:rPr>
      </w:pPr>
    </w:p>
    <w:p w14:paraId="13A22F0A" w14:textId="4C5286BD" w:rsidR="000F41F1" w:rsidRPr="009E20DA" w:rsidRDefault="000F41F1" w:rsidP="000F41F1">
      <w:pPr>
        <w:ind w:left="0"/>
        <w:rPr>
          <w:iCs/>
          <w:lang w:val="fr-CA"/>
        </w:rPr>
      </w:pPr>
      <w:r w:rsidRPr="009E20DA">
        <w:rPr>
          <w:iCs/>
          <w:lang w:val="fr-CA"/>
        </w:rPr>
        <w:t>Il est essentiel de définir clairement les rôles et les responsabilités pour une mise en œuvre efficace de la politique de cybersécurité de [Nom de l'organisation]. Les paragraphes suivants décrivent les principales parties prenantes et leurs fonctions respectives :</w:t>
      </w:r>
    </w:p>
    <w:p w14:paraId="4FF347D5" w14:textId="20E92A5D" w:rsidR="000F41F1" w:rsidRPr="001C53DC" w:rsidRDefault="000F41F1" w:rsidP="000F41F1">
      <w:pPr>
        <w:pStyle w:val="ListParagraph"/>
        <w:numPr>
          <w:ilvl w:val="0"/>
          <w:numId w:val="8"/>
        </w:numPr>
        <w:rPr>
          <w:iCs/>
        </w:rPr>
      </w:pPr>
      <w:r w:rsidRPr="001C53DC">
        <w:rPr>
          <w:iCs/>
        </w:rPr>
        <w:t xml:space="preserve">Conseil </w:t>
      </w:r>
      <w:proofErr w:type="spellStart"/>
      <w:r w:rsidRPr="001C53DC">
        <w:rPr>
          <w:iCs/>
        </w:rPr>
        <w:t>d'administration</w:t>
      </w:r>
      <w:proofErr w:type="spellEnd"/>
    </w:p>
    <w:p w14:paraId="43178EDF" w14:textId="77777777" w:rsidR="000F41F1" w:rsidRPr="009E20DA" w:rsidRDefault="000F41F1" w:rsidP="000F41F1">
      <w:pPr>
        <w:pStyle w:val="ListParagraph"/>
        <w:numPr>
          <w:ilvl w:val="0"/>
          <w:numId w:val="7"/>
        </w:numPr>
        <w:rPr>
          <w:iCs/>
          <w:color w:val="0070C0"/>
          <w:lang w:val="fr-CA"/>
        </w:rPr>
      </w:pPr>
      <w:r w:rsidRPr="009E20DA">
        <w:rPr>
          <w:iCs/>
          <w:color w:val="0070C0"/>
          <w:lang w:val="fr-CA"/>
        </w:rPr>
        <w:lastRenderedPageBreak/>
        <w:t>Supervision de la gouvernance : Veiller à ce que les stratégies de cybersécurité soient conformes aux objectifs de l'organisation et aux exigences réglementaires.</w:t>
      </w:r>
    </w:p>
    <w:p w14:paraId="79D0C857" w14:textId="6F9AA8F2" w:rsidR="000F41F1" w:rsidRPr="009E20DA" w:rsidRDefault="000F41F1" w:rsidP="000F41F1">
      <w:pPr>
        <w:pStyle w:val="ListParagraph"/>
        <w:numPr>
          <w:ilvl w:val="0"/>
          <w:numId w:val="7"/>
        </w:numPr>
        <w:rPr>
          <w:iCs/>
          <w:color w:val="0070C0"/>
          <w:lang w:val="fr-CA"/>
        </w:rPr>
      </w:pPr>
      <w:r w:rsidRPr="009E20DA">
        <w:rPr>
          <w:iCs/>
          <w:color w:val="0070C0"/>
          <w:lang w:val="fr-CA"/>
        </w:rPr>
        <w:t>Allocation des ressources : Approuver les ressources nécessaires au développement et au maintien des programmes de cybersécurité.</w:t>
      </w:r>
    </w:p>
    <w:p w14:paraId="59A2AECF" w14:textId="5EA3BC63" w:rsidR="000F41F1" w:rsidRPr="001C53DC" w:rsidRDefault="000F41F1" w:rsidP="000F41F1">
      <w:pPr>
        <w:ind w:left="0"/>
        <w:rPr>
          <w:iCs/>
        </w:rPr>
      </w:pPr>
      <w:r w:rsidRPr="001C53DC">
        <w:rPr>
          <w:iCs/>
        </w:rPr>
        <w:t>2. Directeur général (DG)</w:t>
      </w:r>
    </w:p>
    <w:p w14:paraId="5119291E" w14:textId="327B8177" w:rsidR="000F41F1" w:rsidRPr="009E20DA" w:rsidRDefault="000F41F1" w:rsidP="000F41F1">
      <w:pPr>
        <w:pStyle w:val="ListParagraph"/>
        <w:numPr>
          <w:ilvl w:val="0"/>
          <w:numId w:val="9"/>
        </w:numPr>
        <w:rPr>
          <w:iCs/>
          <w:color w:val="0070C0"/>
          <w:lang w:val="fr-CA"/>
        </w:rPr>
      </w:pPr>
      <w:r w:rsidRPr="009E20DA">
        <w:rPr>
          <w:iCs/>
          <w:color w:val="0070C0"/>
          <w:lang w:val="fr-CA"/>
        </w:rPr>
        <w:t>Leadership stratégique : Se faire le champion des initiatives en matière de cybersécurité et les intégrer dans la stratégie globale de l'organisation.</w:t>
      </w:r>
    </w:p>
    <w:p w14:paraId="4D4B4FA5" w14:textId="6B297FB3" w:rsidR="000F41F1" w:rsidRPr="009E20DA" w:rsidRDefault="000F41F1" w:rsidP="000F41F1">
      <w:pPr>
        <w:pStyle w:val="ListParagraph"/>
        <w:numPr>
          <w:ilvl w:val="0"/>
          <w:numId w:val="9"/>
        </w:numPr>
        <w:rPr>
          <w:iCs/>
          <w:color w:val="0070C0"/>
          <w:lang w:val="fr-CA"/>
        </w:rPr>
      </w:pPr>
      <w:r w:rsidRPr="009E20DA">
        <w:rPr>
          <w:iCs/>
          <w:color w:val="0070C0"/>
          <w:lang w:val="fr-CA"/>
        </w:rPr>
        <w:t>Application des politiques : Veiller au respect des politiques de cybersécurité dans tous les services.</w:t>
      </w:r>
    </w:p>
    <w:p w14:paraId="5D3B4E6C" w14:textId="64B62116" w:rsidR="000F41F1" w:rsidRPr="009E20DA" w:rsidRDefault="000F41F1" w:rsidP="000F41F1">
      <w:pPr>
        <w:ind w:left="0"/>
        <w:rPr>
          <w:iCs/>
          <w:lang w:val="fr-CA"/>
        </w:rPr>
      </w:pPr>
      <w:r w:rsidRPr="009E20DA">
        <w:rPr>
          <w:iCs/>
          <w:lang w:val="fr-CA"/>
        </w:rPr>
        <w:t>3. Responsable de la sécurité de l'information (CISO)</w:t>
      </w:r>
    </w:p>
    <w:p w14:paraId="473C6B23" w14:textId="77777777" w:rsidR="000F41F1" w:rsidRPr="009E20DA" w:rsidRDefault="000F41F1" w:rsidP="000F41F1">
      <w:pPr>
        <w:pStyle w:val="ListParagraph"/>
        <w:numPr>
          <w:ilvl w:val="0"/>
          <w:numId w:val="10"/>
        </w:numPr>
        <w:rPr>
          <w:iCs/>
          <w:color w:val="0070C0"/>
          <w:lang w:val="fr-CA"/>
        </w:rPr>
      </w:pPr>
      <w:r w:rsidRPr="009E20DA">
        <w:rPr>
          <w:iCs/>
          <w:color w:val="0070C0"/>
          <w:lang w:val="fr-CA"/>
        </w:rPr>
        <w:t>Élaboration de politiques : Rédiger, mettre en œuvre et actualiser les politiques et procédures en matière de cybersécurité.</w:t>
      </w:r>
    </w:p>
    <w:p w14:paraId="73E6F8C0" w14:textId="6004D0D2" w:rsidR="000F41F1" w:rsidRPr="009E20DA" w:rsidRDefault="000F41F1" w:rsidP="000F41F1">
      <w:pPr>
        <w:pStyle w:val="ListParagraph"/>
        <w:numPr>
          <w:ilvl w:val="0"/>
          <w:numId w:val="10"/>
        </w:numPr>
        <w:rPr>
          <w:iCs/>
          <w:color w:val="0070C0"/>
          <w:lang w:val="fr-CA"/>
        </w:rPr>
      </w:pPr>
      <w:r w:rsidRPr="009E20DA">
        <w:rPr>
          <w:iCs/>
          <w:color w:val="0070C0"/>
          <w:lang w:val="fr-CA"/>
        </w:rPr>
        <w:t>Gestion des risques : Identifier, évaluer et atténuer les risques liés à la cybersécurité.</w:t>
      </w:r>
    </w:p>
    <w:p w14:paraId="7EE1D22F" w14:textId="77777777" w:rsidR="000F41F1" w:rsidRPr="009E20DA" w:rsidRDefault="000F41F1" w:rsidP="000F41F1">
      <w:pPr>
        <w:pStyle w:val="ListParagraph"/>
        <w:numPr>
          <w:ilvl w:val="0"/>
          <w:numId w:val="10"/>
        </w:numPr>
        <w:rPr>
          <w:iCs/>
          <w:color w:val="0070C0"/>
          <w:lang w:val="fr-CA"/>
        </w:rPr>
      </w:pPr>
      <w:r w:rsidRPr="009E20DA">
        <w:rPr>
          <w:iCs/>
          <w:color w:val="0070C0"/>
          <w:lang w:val="fr-CA"/>
        </w:rPr>
        <w:t>Réponse aux incidents : Diriger la réponse aux incidents de cybersécurité et coordonner les efforts de rétablissement.</w:t>
      </w:r>
    </w:p>
    <w:p w14:paraId="38495FC4" w14:textId="6647BFA4" w:rsidR="000F41F1" w:rsidRPr="009E20DA" w:rsidRDefault="000F41F1" w:rsidP="000F41F1">
      <w:pPr>
        <w:ind w:left="0"/>
        <w:rPr>
          <w:iCs/>
          <w:lang w:val="fr-CA"/>
        </w:rPr>
      </w:pPr>
      <w:r w:rsidRPr="009E20DA">
        <w:rPr>
          <w:iCs/>
          <w:lang w:val="fr-CA"/>
        </w:rPr>
        <w:t>4. Département des technologies de l'information (TI)</w:t>
      </w:r>
    </w:p>
    <w:p w14:paraId="71EBC46E" w14:textId="23774F9A" w:rsidR="000F41F1" w:rsidRPr="009E20DA" w:rsidRDefault="000F41F1" w:rsidP="000F41F1">
      <w:pPr>
        <w:pStyle w:val="ListParagraph"/>
        <w:numPr>
          <w:ilvl w:val="0"/>
          <w:numId w:val="11"/>
        </w:numPr>
        <w:rPr>
          <w:iCs/>
          <w:color w:val="0070C0"/>
          <w:lang w:val="fr-CA"/>
        </w:rPr>
      </w:pPr>
      <w:r w:rsidRPr="009E20DA">
        <w:rPr>
          <w:iCs/>
          <w:color w:val="0070C0"/>
          <w:lang w:val="fr-CA"/>
        </w:rPr>
        <w:t>Sécurité de l'infrastructure : Mettre en œuvre et maintenir des contrôles de sécurité pour le matériel, les logiciels et les réseaux.</w:t>
      </w:r>
    </w:p>
    <w:p w14:paraId="7CDBB52E" w14:textId="1D89D263" w:rsidR="000F41F1" w:rsidRPr="009E20DA" w:rsidRDefault="000F41F1" w:rsidP="000F41F1">
      <w:pPr>
        <w:pStyle w:val="ListParagraph"/>
        <w:numPr>
          <w:ilvl w:val="0"/>
          <w:numId w:val="11"/>
        </w:numPr>
        <w:rPr>
          <w:iCs/>
          <w:color w:val="0070C0"/>
          <w:lang w:val="fr-CA"/>
        </w:rPr>
      </w:pPr>
      <w:r w:rsidRPr="009E20DA">
        <w:rPr>
          <w:iCs/>
          <w:color w:val="0070C0"/>
          <w:lang w:val="fr-CA"/>
        </w:rPr>
        <w:t>Surveillance et maintenance : Contrôler régulièrement les systèmes pour détecter les vulnérabilités et appliquer les mises à jour nécessaires.</w:t>
      </w:r>
    </w:p>
    <w:p w14:paraId="13C2A46B" w14:textId="77777777" w:rsidR="000F41F1" w:rsidRPr="00E65139" w:rsidRDefault="000F41F1" w:rsidP="000F41F1">
      <w:pPr>
        <w:ind w:left="450" w:hanging="360"/>
        <w:rPr>
          <w:iCs/>
        </w:rPr>
      </w:pPr>
      <w:r w:rsidRPr="00E65139">
        <w:rPr>
          <w:iCs/>
        </w:rPr>
        <w:t>5. Responsables de service</w:t>
      </w:r>
    </w:p>
    <w:p w14:paraId="2D2A5658" w14:textId="2847F714" w:rsidR="000F41F1" w:rsidRPr="009E20DA" w:rsidRDefault="000F41F1" w:rsidP="000F41F1">
      <w:pPr>
        <w:pStyle w:val="ListParagraph"/>
        <w:numPr>
          <w:ilvl w:val="0"/>
          <w:numId w:val="12"/>
        </w:numPr>
        <w:rPr>
          <w:iCs/>
          <w:color w:val="0070C0"/>
          <w:lang w:val="fr-CA"/>
        </w:rPr>
      </w:pPr>
      <w:r w:rsidRPr="009E20DA">
        <w:rPr>
          <w:iCs/>
          <w:color w:val="0070C0"/>
          <w:lang w:val="fr-CA"/>
        </w:rPr>
        <w:t>Mise en œuvre des politiques : Veiller à ce que leurs équipes respectent les politiques et les procédures en matière de cybersécurité.</w:t>
      </w:r>
    </w:p>
    <w:p w14:paraId="4C3F2DA8" w14:textId="1CFCCE00" w:rsidR="000F41F1" w:rsidRPr="009E20DA" w:rsidRDefault="000F41F1" w:rsidP="000F41F1">
      <w:pPr>
        <w:pStyle w:val="ListParagraph"/>
        <w:numPr>
          <w:ilvl w:val="0"/>
          <w:numId w:val="12"/>
        </w:numPr>
        <w:rPr>
          <w:iCs/>
          <w:color w:val="0070C0"/>
          <w:lang w:val="fr-CA"/>
        </w:rPr>
      </w:pPr>
      <w:r w:rsidRPr="009E20DA">
        <w:rPr>
          <w:iCs/>
          <w:color w:val="0070C0"/>
          <w:lang w:val="fr-CA"/>
        </w:rPr>
        <w:t>Facilitation de la formation : Coordonner les formations de sensibilisation à la cybersécurité pour les membres de l'équipe.</w:t>
      </w:r>
    </w:p>
    <w:p w14:paraId="2EC76F02" w14:textId="7BA19C12" w:rsidR="000F41F1" w:rsidRPr="00E65139" w:rsidRDefault="000F41F1" w:rsidP="000F41F1">
      <w:pPr>
        <w:ind w:left="450" w:hanging="360"/>
        <w:rPr>
          <w:iCs/>
        </w:rPr>
      </w:pPr>
      <w:r w:rsidRPr="00E65139">
        <w:rPr>
          <w:iCs/>
        </w:rPr>
        <w:t>6. Employés et contractants</w:t>
      </w:r>
    </w:p>
    <w:p w14:paraId="33FA6590" w14:textId="023B1443" w:rsidR="000F41F1" w:rsidRPr="009E20DA" w:rsidRDefault="000F41F1" w:rsidP="000F41F1">
      <w:pPr>
        <w:pStyle w:val="ListParagraph"/>
        <w:numPr>
          <w:ilvl w:val="0"/>
          <w:numId w:val="13"/>
        </w:numPr>
        <w:rPr>
          <w:iCs/>
          <w:color w:val="0070C0"/>
          <w:lang w:val="fr-CA"/>
        </w:rPr>
      </w:pPr>
      <w:r w:rsidRPr="009E20DA">
        <w:rPr>
          <w:iCs/>
          <w:color w:val="0070C0"/>
          <w:lang w:val="fr-CA"/>
        </w:rPr>
        <w:t>Respect des politiques : Respecter les politiques de cybersécurité établies et signaler toute activité suspecte.</w:t>
      </w:r>
    </w:p>
    <w:p w14:paraId="281703E1" w14:textId="3B6D00C3" w:rsidR="000F41F1" w:rsidRPr="009E20DA" w:rsidRDefault="000F41F1" w:rsidP="000F41F1">
      <w:pPr>
        <w:pStyle w:val="ListParagraph"/>
        <w:numPr>
          <w:ilvl w:val="0"/>
          <w:numId w:val="13"/>
        </w:numPr>
        <w:rPr>
          <w:iCs/>
          <w:color w:val="0070C0"/>
          <w:lang w:val="fr-CA"/>
        </w:rPr>
      </w:pPr>
      <w:r w:rsidRPr="009E20DA">
        <w:rPr>
          <w:iCs/>
          <w:color w:val="0070C0"/>
          <w:lang w:val="fr-CA"/>
        </w:rPr>
        <w:t>Pratiques de sécurité : Protéger les données de l'organisation en utilisant des mots de passe forts et en sauvegardant les informations sensibles.</w:t>
      </w:r>
    </w:p>
    <w:p w14:paraId="15FC9BEB" w14:textId="77777777" w:rsidR="000F41F1" w:rsidRPr="00E65139" w:rsidRDefault="000F41F1" w:rsidP="000F41F1">
      <w:pPr>
        <w:ind w:left="450" w:hanging="360"/>
        <w:rPr>
          <w:iCs/>
        </w:rPr>
      </w:pPr>
      <w:r w:rsidRPr="00E65139">
        <w:rPr>
          <w:iCs/>
        </w:rPr>
        <w:t>7. Partenaires tiers</w:t>
      </w:r>
    </w:p>
    <w:p w14:paraId="16F63D4C" w14:textId="2CBD777D" w:rsidR="000F41F1" w:rsidRPr="009E20DA" w:rsidRDefault="000F41F1" w:rsidP="000F41F1">
      <w:pPr>
        <w:pStyle w:val="ListParagraph"/>
        <w:numPr>
          <w:ilvl w:val="0"/>
          <w:numId w:val="14"/>
        </w:numPr>
        <w:rPr>
          <w:iCs/>
          <w:color w:val="0070C0"/>
          <w:lang w:val="fr-CA"/>
        </w:rPr>
      </w:pPr>
      <w:r w:rsidRPr="009E20DA">
        <w:rPr>
          <w:iCs/>
          <w:color w:val="0070C0"/>
          <w:lang w:val="fr-CA"/>
        </w:rPr>
        <w:t>Assurance de conformité : Adhérer aux normes de cybersécurité de [Nom de l'organisation] et se soumettre à des évaluations de sécurité régulières.</w:t>
      </w:r>
    </w:p>
    <w:p w14:paraId="7F9A458D" w14:textId="2B88ECC0" w:rsidR="000F41F1" w:rsidRPr="009E20DA" w:rsidRDefault="000F41F1" w:rsidP="000F41F1">
      <w:pPr>
        <w:pStyle w:val="ListParagraph"/>
        <w:numPr>
          <w:ilvl w:val="0"/>
          <w:numId w:val="14"/>
        </w:numPr>
        <w:rPr>
          <w:iCs/>
          <w:color w:val="0070C0"/>
          <w:lang w:val="fr-CA"/>
        </w:rPr>
      </w:pPr>
      <w:r w:rsidRPr="009E20DA">
        <w:rPr>
          <w:iCs/>
          <w:color w:val="0070C0"/>
          <w:lang w:val="fr-CA"/>
        </w:rPr>
        <w:t>Signalement des incidents : Signaler rapidement tout incident de sécurité susceptible d'avoir un impact sur [Nom de l'organisation].</w:t>
      </w:r>
    </w:p>
    <w:p w14:paraId="1AA250E1" w14:textId="1E5E6BA9" w:rsidR="00424D01" w:rsidRPr="009E20DA" w:rsidRDefault="000F41F1" w:rsidP="00424D01">
      <w:pPr>
        <w:ind w:left="90"/>
        <w:rPr>
          <w:iCs/>
          <w:lang w:val="fr-CA"/>
        </w:rPr>
      </w:pPr>
      <w:r w:rsidRPr="009E20DA">
        <w:rPr>
          <w:iCs/>
          <w:lang w:val="fr-CA"/>
        </w:rPr>
        <w:t xml:space="preserve">En définissant clairement ces rôles et responsabilités, </w:t>
      </w:r>
      <w:r w:rsidRPr="009E20DA">
        <w:rPr>
          <w:iCs/>
          <w:color w:val="0070C0"/>
          <w:lang w:val="fr-CA"/>
        </w:rPr>
        <w:t xml:space="preserve">[Nom de l'organisation] </w:t>
      </w:r>
      <w:r w:rsidRPr="009E20DA">
        <w:rPr>
          <w:iCs/>
          <w:lang w:val="fr-CA"/>
        </w:rPr>
        <w:t>vise à promouvoir une culture de la sécurité et à assurer la protection de son patrimoine informationnel.</w:t>
      </w:r>
    </w:p>
    <w:p w14:paraId="5A12BE4F" w14:textId="75F735F2" w:rsidR="00690F98" w:rsidRPr="009E20DA" w:rsidRDefault="00690F98" w:rsidP="00197997">
      <w:pPr>
        <w:ind w:left="0"/>
        <w:rPr>
          <w:color w:val="0070C0"/>
          <w:lang w:val="fr-CA"/>
        </w:rPr>
      </w:pPr>
    </w:p>
    <w:p w14:paraId="6EBDB7B9" w14:textId="65C6F34C" w:rsidR="00690F98" w:rsidRPr="009E20DA" w:rsidRDefault="00A43267" w:rsidP="00197997">
      <w:pPr>
        <w:ind w:left="0"/>
        <w:rPr>
          <w:color w:val="0070C0"/>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73EADB05" wp14:editId="3C085AD7">
                <wp:simplePos x="0" y="0"/>
                <wp:positionH relativeFrom="margin">
                  <wp:posOffset>-152400</wp:posOffset>
                </wp:positionH>
                <wp:positionV relativeFrom="paragraph">
                  <wp:posOffset>344805</wp:posOffset>
                </wp:positionV>
                <wp:extent cx="6492240" cy="549910"/>
                <wp:effectExtent l="0" t="0" r="3810" b="2540"/>
                <wp:wrapTopAndBottom/>
                <wp:docPr id="1886332285" name="Text Box 1"/>
                <wp:cNvGraphicFramePr/>
                <a:graphic xmlns:a="http://schemas.openxmlformats.org/drawingml/2006/main">
                  <a:graphicData uri="http://schemas.microsoft.com/office/word/2010/wordprocessingShape">
                    <wps:wsp>
                      <wps:cNvSpPr txBox="1"/>
                      <wps:spPr>
                        <a:xfrm>
                          <a:off x="0" y="0"/>
                          <a:ext cx="6492240" cy="549910"/>
                        </a:xfrm>
                        <a:prstGeom prst="rect">
                          <a:avLst/>
                        </a:prstGeom>
                        <a:solidFill>
                          <a:srgbClr val="FFFFFF">
                            <a:lumMod val="95000"/>
                          </a:srgbClr>
                        </a:solidFill>
                        <a:ln w="6350">
                          <a:noFill/>
                        </a:ln>
                      </wps:spPr>
                      <wps:txbx>
                        <w:txbxContent>
                          <w:p w14:paraId="67C30067" w14:textId="252BC508" w:rsidR="00F65B9D" w:rsidRPr="009E20DA" w:rsidRDefault="00793DCF" w:rsidP="00F65B9D">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permettre d'</w:t>
                            </w:r>
                            <w:r w:rsidR="00F65B9D" w:rsidRPr="009E20DA">
                              <w:rPr>
                                <w:b/>
                                <w:bCs/>
                                <w:i/>
                                <w:color w:val="595959" w:themeColor="text1" w:themeTint="A6"/>
                                <w:sz w:val="20"/>
                                <w:szCs w:val="20"/>
                                <w:lang w:val="fr-CA"/>
                              </w:rPr>
                              <w:t>attribuer des responsabilités spécifiques en matière de cybersécurité aux différents rôles au sein de l'organisation</w:t>
                            </w:r>
                            <w:r w:rsidR="00E515FF" w:rsidRPr="009E20DA">
                              <w:rPr>
                                <w:b/>
                                <w:bCs/>
                                <w:i/>
                                <w:color w:val="595959" w:themeColor="text1" w:themeTint="A6"/>
                                <w:sz w:val="20"/>
                                <w:szCs w:val="20"/>
                                <w:lang w:val="fr-CA"/>
                              </w:rPr>
                              <w:t>.</w:t>
                            </w:r>
                          </w:p>
                          <w:p w14:paraId="48A91769" w14:textId="77777777" w:rsidR="00793DCF" w:rsidRPr="009E20DA" w:rsidRDefault="00793DCF" w:rsidP="00793DCF">
                            <w:pPr>
                              <w:ind w:left="0"/>
                              <w:rPr>
                                <w:i/>
                                <w:color w:val="595959" w:themeColor="text1" w:themeTint="A6"/>
                                <w:sz w:val="20"/>
                                <w:szCs w:val="20"/>
                                <w:lang w:val="fr-CA"/>
                              </w:rPr>
                            </w:pPr>
                          </w:p>
                          <w:p w14:paraId="19F3FBB3" w14:textId="4DA1F3E8" w:rsidR="00793DCF" w:rsidRPr="009E20DA" w:rsidRDefault="00793DCF" w:rsidP="00793DCF">
                            <w:pPr>
                              <w:ind w:left="0"/>
                              <w:rPr>
                                <w:b/>
                                <w:bCs/>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ADB05" id="_x0000_s1031" type="#_x0000_t202" style="position:absolute;margin-left:-12pt;margin-top:27.15pt;width:511.2pt;height:43.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" fillcolor="#f2f2f2" stroked="f" strokeweight=".5pt">
                <v:textbox>
                  <w:txbxContent>
                    <w:p w14:paraId="67C30067" w14:textId="252BC508" w:rsidR="00F65B9D" w:rsidRPr="009E20DA" w:rsidRDefault="00793DCF" w:rsidP="00F65B9D">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permettre d'</w:t>
                      </w:r>
                      <w:r w:rsidR="00F65B9D" w:rsidRPr="009E20DA">
                        <w:rPr>
                          <w:b/>
                          <w:bCs/>
                          <w:i/>
                          <w:color w:val="595959" w:themeColor="text1" w:themeTint="A6"/>
                          <w:sz w:val="20"/>
                          <w:szCs w:val="20"/>
                          <w:lang w:val="fr-CA"/>
                        </w:rPr>
                        <w:t>attribuer des responsabilités spécifiques en matière de cybersécurité aux différents rôles au sein de l'organisation</w:t>
                      </w:r>
                      <w:r w:rsidR="00E515FF" w:rsidRPr="009E20DA">
                        <w:rPr>
                          <w:b/>
                          <w:bCs/>
                          <w:i/>
                          <w:color w:val="595959" w:themeColor="text1" w:themeTint="A6"/>
                          <w:sz w:val="20"/>
                          <w:szCs w:val="20"/>
                          <w:lang w:val="fr-CA"/>
                        </w:rPr>
                        <w:t>.</w:t>
                      </w:r>
                    </w:p>
                    <w:p w14:paraId="48A91769" w14:textId="77777777" w:rsidR="00793DCF" w:rsidRPr="009E20DA" w:rsidRDefault="00793DCF" w:rsidP="00793DCF">
                      <w:pPr>
                        <w:ind w:left="0"/>
                        <w:rPr>
                          <w:i/>
                          <w:color w:val="595959" w:themeColor="text1" w:themeTint="A6"/>
                          <w:sz w:val="20"/>
                          <w:szCs w:val="20"/>
                          <w:lang w:val="fr-CA"/>
                        </w:rPr>
                      </w:pPr>
                    </w:p>
                    <w:p w14:paraId="19F3FBB3" w14:textId="4DA1F3E8" w:rsidR="00793DCF" w:rsidRPr="009E20DA" w:rsidRDefault="00793DCF" w:rsidP="00793DCF">
                      <w:pPr>
                        <w:ind w:left="0"/>
                        <w:rPr>
                          <w:b/>
                          <w:bCs/>
                          <w:i/>
                          <w:color w:val="595959" w:themeColor="text1" w:themeTint="A6"/>
                          <w:lang w:val="fr-CA"/>
                        </w:rPr>
                      </w:pPr>
                    </w:p>
                  </w:txbxContent>
                </v:textbox>
                <w10:wrap type="topAndBottom" anchorx="margin"/>
              </v:shape>
            </w:pict>
          </mc:Fallback>
        </mc:AlternateContent>
      </w:r>
    </w:p>
    <w:bookmarkEnd w:id="5"/>
    <w:bookmarkEnd w:id="6"/>
    <w:p w14:paraId="54FD4D90" w14:textId="18BDFBD4" w:rsidR="001F7652" w:rsidRDefault="003B280C" w:rsidP="001F7652">
      <w:pPr>
        <w:pStyle w:val="Heading1"/>
      </w:pPr>
      <w:r w:rsidRPr="003B280C">
        <w:lastRenderedPageBreak/>
        <w:t xml:space="preserve">Gestion des </w:t>
      </w:r>
      <w:proofErr w:type="spellStart"/>
      <w:r w:rsidRPr="003B280C">
        <w:t>risques</w:t>
      </w:r>
      <w:proofErr w:type="spellEnd"/>
    </w:p>
    <w:p w14:paraId="2CA63402" w14:textId="57E828B4" w:rsidR="00424D01" w:rsidRPr="009E20DA" w:rsidRDefault="00F83DFF" w:rsidP="00424D01">
      <w:pPr>
        <w:ind w:left="0"/>
        <w:rPr>
          <w:i/>
          <w:color w:val="595959" w:themeColor="text1" w:themeTint="A6"/>
          <w:sz w:val="18"/>
          <w:szCs w:val="18"/>
          <w:lang w:val="fr-CA"/>
        </w:rPr>
      </w:pPr>
      <w:r>
        <w:rPr>
          <w:color w:val="0070C0"/>
        </w:rPr>
        <w:fldChar w:fldCharType="begin">
          <w:ffData>
            <w:name w:val=""/>
            <w:enabled/>
            <w:calcOnExit w:val="0"/>
            <w:textInput>
              <w:default w:val="[Insert Risk Management Stratagy]"/>
            </w:textInput>
          </w:ffData>
        </w:fldChar>
      </w:r>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 xml:space="preserve">[Insérer la stratégie de gestion des risques] </w:t>
      </w:r>
      <w:r>
        <w:rPr>
          <w:color w:val="0070C0"/>
        </w:rPr>
        <w:fldChar w:fldCharType="end"/>
      </w:r>
    </w:p>
    <w:p w14:paraId="121686AF" w14:textId="7A825CCF" w:rsidR="00424D01" w:rsidRPr="009E20DA" w:rsidRDefault="00424D01" w:rsidP="00424D01">
      <w:pPr>
        <w:ind w:left="0"/>
        <w:rPr>
          <w:iCs/>
          <w:lang w:val="fr-CA"/>
        </w:rPr>
      </w:pPr>
      <w:r w:rsidRPr="009E20DA">
        <w:rPr>
          <w:iCs/>
          <w:lang w:val="fr-CA"/>
        </w:rPr>
        <w:t xml:space="preserve">Une gestion efficace des risques est essentielle pour protéger les actifs informationnels de </w:t>
      </w:r>
      <w:r w:rsidRPr="009E20DA">
        <w:rPr>
          <w:iCs/>
          <w:color w:val="0070C0"/>
          <w:lang w:val="fr-CA"/>
        </w:rPr>
        <w:t xml:space="preserve">[Nom de l'organisation] </w:t>
      </w:r>
      <w:r w:rsidRPr="009E20DA">
        <w:rPr>
          <w:iCs/>
          <w:lang w:val="fr-CA"/>
        </w:rPr>
        <w:t xml:space="preserve">et garantir la conformité aux normes canadiennes en matière de cybersécurité. Notre approche s'aligne sur les lignes directrices de </w:t>
      </w:r>
      <w:r w:rsidR="009709B1">
        <w:rPr>
          <w:iCs/>
          <w:lang w:val="fr-CA"/>
        </w:rPr>
        <w:t>l’autorité compétente</w:t>
      </w:r>
      <w:r w:rsidRPr="009E20DA">
        <w:rPr>
          <w:iCs/>
          <w:lang w:val="fr-CA"/>
        </w:rPr>
        <w:t xml:space="preserve"> en matière de cybersécurité, en particulier la gestion des risques liés à la sécurité des TI.</w:t>
      </w:r>
    </w:p>
    <w:p w14:paraId="0539B4AE" w14:textId="01C0E80A" w:rsidR="00424D01" w:rsidRPr="009E20DA" w:rsidRDefault="00424D01" w:rsidP="00424D01">
      <w:pPr>
        <w:ind w:left="0"/>
        <w:rPr>
          <w:iCs/>
          <w:lang w:val="fr-CA"/>
        </w:rPr>
      </w:pPr>
      <w:r w:rsidRPr="009E20DA">
        <w:rPr>
          <w:iCs/>
          <w:lang w:val="fr-CA"/>
        </w:rPr>
        <w:t>1. Cadre de gestion des risques</w:t>
      </w:r>
    </w:p>
    <w:p w14:paraId="11D5272B" w14:textId="4489AD5B" w:rsidR="00424D01" w:rsidRPr="009E20DA" w:rsidRDefault="00424D01" w:rsidP="00424D01">
      <w:pPr>
        <w:ind w:left="0"/>
        <w:rPr>
          <w:iCs/>
          <w:lang w:val="fr-CA"/>
        </w:rPr>
      </w:pPr>
      <w:r w:rsidRPr="009E20DA">
        <w:rPr>
          <w:iCs/>
          <w:lang w:val="fr-CA"/>
        </w:rPr>
        <w:t>Nous adoptons un cadre structuré de gestion des risques qui s'intègre dans nos processus organisationnels et qui englobe les éléments suivants :</w:t>
      </w:r>
    </w:p>
    <w:p w14:paraId="394C59B0" w14:textId="1E24CC21" w:rsidR="00424D01" w:rsidRPr="009E20DA" w:rsidRDefault="00424D01" w:rsidP="00424D01">
      <w:pPr>
        <w:pStyle w:val="ListParagraph"/>
        <w:numPr>
          <w:ilvl w:val="0"/>
          <w:numId w:val="15"/>
        </w:numPr>
        <w:rPr>
          <w:iCs/>
          <w:color w:val="0070C0"/>
          <w:lang w:val="fr-CA"/>
        </w:rPr>
      </w:pPr>
      <w:r w:rsidRPr="009E20DA">
        <w:rPr>
          <w:iCs/>
          <w:color w:val="0070C0"/>
          <w:lang w:val="fr-CA"/>
        </w:rPr>
        <w:t>Identification des risques : Identifier systématiquement les menaces et les vulnérabilités potentielles qui pourraient avoir un impact sur les systèmes d'information.</w:t>
      </w:r>
    </w:p>
    <w:p w14:paraId="41199033" w14:textId="0ABD6364" w:rsidR="00424D01" w:rsidRPr="009E20DA" w:rsidRDefault="00424D01" w:rsidP="00424D01">
      <w:pPr>
        <w:pStyle w:val="ListParagraph"/>
        <w:numPr>
          <w:ilvl w:val="0"/>
          <w:numId w:val="15"/>
        </w:numPr>
        <w:rPr>
          <w:iCs/>
          <w:color w:val="0070C0"/>
          <w:lang w:val="fr-CA"/>
        </w:rPr>
      </w:pPr>
      <w:r w:rsidRPr="009E20DA">
        <w:rPr>
          <w:iCs/>
          <w:color w:val="0070C0"/>
          <w:lang w:val="fr-CA"/>
        </w:rPr>
        <w:t>Évaluation des risques : Évaluer les risques identifiés afin de déterminer leur impact potentiel et leur probabilité.</w:t>
      </w:r>
    </w:p>
    <w:p w14:paraId="0CBDD783" w14:textId="0D528CC0" w:rsidR="00424D01" w:rsidRPr="009E20DA" w:rsidRDefault="00424D01" w:rsidP="00424D01">
      <w:pPr>
        <w:pStyle w:val="ListParagraph"/>
        <w:numPr>
          <w:ilvl w:val="0"/>
          <w:numId w:val="15"/>
        </w:numPr>
        <w:rPr>
          <w:iCs/>
          <w:color w:val="0070C0"/>
          <w:lang w:val="fr-CA"/>
        </w:rPr>
      </w:pPr>
      <w:r w:rsidRPr="009E20DA">
        <w:rPr>
          <w:iCs/>
          <w:color w:val="0070C0"/>
          <w:lang w:val="fr-CA"/>
        </w:rPr>
        <w:t>Atténuation des risques : Mettre en œuvre des contrôles appropriés pour ramener les risques à des niveaux acceptables.</w:t>
      </w:r>
    </w:p>
    <w:p w14:paraId="6A016E0A" w14:textId="35F05E52" w:rsidR="00424D01" w:rsidRPr="009E20DA" w:rsidRDefault="00424D01" w:rsidP="00424D01">
      <w:pPr>
        <w:pStyle w:val="ListParagraph"/>
        <w:numPr>
          <w:ilvl w:val="0"/>
          <w:numId w:val="15"/>
        </w:numPr>
        <w:rPr>
          <w:iCs/>
          <w:color w:val="0070C0"/>
          <w:lang w:val="fr-CA"/>
        </w:rPr>
      </w:pPr>
      <w:r w:rsidRPr="009E20DA">
        <w:rPr>
          <w:iCs/>
          <w:color w:val="0070C0"/>
          <w:lang w:val="fr-CA"/>
        </w:rPr>
        <w:t>Surveillance des risques : Contrôler en permanence l'environnement de risque et l'efficacité des contrôles.</w:t>
      </w:r>
    </w:p>
    <w:p w14:paraId="53E77157" w14:textId="5F2886B6" w:rsidR="00424D01" w:rsidRPr="00BB3208" w:rsidRDefault="00424D01" w:rsidP="00424D01">
      <w:pPr>
        <w:ind w:left="0"/>
        <w:rPr>
          <w:iCs/>
        </w:rPr>
      </w:pPr>
      <w:r w:rsidRPr="00BB3208">
        <w:rPr>
          <w:iCs/>
        </w:rPr>
        <w:t>2. Rôles et responsabilités</w:t>
      </w:r>
    </w:p>
    <w:p w14:paraId="70F3EC2C" w14:textId="10579716" w:rsidR="00424D01" w:rsidRPr="009E20DA" w:rsidRDefault="00424D01" w:rsidP="00424D01">
      <w:pPr>
        <w:pStyle w:val="ListParagraph"/>
        <w:numPr>
          <w:ilvl w:val="0"/>
          <w:numId w:val="16"/>
        </w:numPr>
        <w:rPr>
          <w:iCs/>
          <w:color w:val="0070C0"/>
          <w:lang w:val="fr-CA"/>
        </w:rPr>
      </w:pPr>
      <w:r w:rsidRPr="009E20DA">
        <w:rPr>
          <w:iCs/>
          <w:color w:val="0070C0"/>
          <w:lang w:val="fr-CA"/>
        </w:rPr>
        <w:t>L'encadrement supérieur : Assurer la surveillance et veiller à ce que des ressources soient allouées aux activités de gestion des risques.</w:t>
      </w:r>
    </w:p>
    <w:p w14:paraId="58B83E75" w14:textId="20D19AD7" w:rsidR="00424D01" w:rsidRPr="009E20DA" w:rsidRDefault="00424D01" w:rsidP="00424D01">
      <w:pPr>
        <w:pStyle w:val="ListParagraph"/>
        <w:numPr>
          <w:ilvl w:val="0"/>
          <w:numId w:val="16"/>
        </w:numPr>
        <w:rPr>
          <w:iCs/>
          <w:color w:val="0070C0"/>
          <w:lang w:val="fr-CA"/>
        </w:rPr>
      </w:pPr>
      <w:r w:rsidRPr="009E20DA">
        <w:rPr>
          <w:iCs/>
          <w:color w:val="0070C0"/>
          <w:lang w:val="fr-CA"/>
        </w:rPr>
        <w:t>L'équipe de gestion des risques : Évaluer les risques, élaborer des stratégies d'atténuation et surveiller les niveaux de risque.</w:t>
      </w:r>
    </w:p>
    <w:p w14:paraId="2F40ECB1" w14:textId="50407700" w:rsidR="00424D01" w:rsidRPr="009E20DA" w:rsidRDefault="00424D01" w:rsidP="00424D01">
      <w:pPr>
        <w:pStyle w:val="ListParagraph"/>
        <w:numPr>
          <w:ilvl w:val="0"/>
          <w:numId w:val="16"/>
        </w:numPr>
        <w:rPr>
          <w:iCs/>
          <w:color w:val="0070C0"/>
          <w:lang w:val="fr-CA"/>
        </w:rPr>
      </w:pPr>
      <w:r w:rsidRPr="009E20DA">
        <w:rPr>
          <w:iCs/>
          <w:color w:val="0070C0"/>
          <w:lang w:val="fr-CA"/>
        </w:rPr>
        <w:t>Tous les employés : Respecter les politiques de sécurité et signaler tout risque ou incident observé.</w:t>
      </w:r>
    </w:p>
    <w:p w14:paraId="68C50223" w14:textId="442CBA45" w:rsidR="00424D01" w:rsidRPr="009E20DA" w:rsidRDefault="00424D01" w:rsidP="00424D01">
      <w:pPr>
        <w:ind w:left="0"/>
        <w:rPr>
          <w:iCs/>
          <w:lang w:val="fr-CA"/>
        </w:rPr>
      </w:pPr>
      <w:r w:rsidRPr="009E20DA">
        <w:rPr>
          <w:iCs/>
          <w:lang w:val="fr-CA"/>
        </w:rPr>
        <w:t>3. Processus d'évaluation des risques</w:t>
      </w:r>
    </w:p>
    <w:p w14:paraId="68EFEFA0" w14:textId="73E9110C" w:rsidR="00424D01" w:rsidRPr="009E20DA" w:rsidRDefault="00424D01" w:rsidP="00424D01">
      <w:pPr>
        <w:ind w:left="0"/>
        <w:rPr>
          <w:iCs/>
          <w:lang w:val="fr-CA"/>
        </w:rPr>
      </w:pPr>
      <w:r w:rsidRPr="009E20DA">
        <w:rPr>
          <w:iCs/>
          <w:lang w:val="fr-CA"/>
        </w:rPr>
        <w:t>Notre processus d'évaluation des risques comprend</w:t>
      </w:r>
    </w:p>
    <w:p w14:paraId="57C8B114" w14:textId="0DAB82E0" w:rsidR="00424D01" w:rsidRPr="009E20DA" w:rsidRDefault="00424D01" w:rsidP="00424D01">
      <w:pPr>
        <w:pStyle w:val="ListParagraph"/>
        <w:numPr>
          <w:ilvl w:val="0"/>
          <w:numId w:val="17"/>
        </w:numPr>
        <w:rPr>
          <w:iCs/>
          <w:color w:val="0070C0"/>
          <w:lang w:val="fr-CA"/>
        </w:rPr>
      </w:pPr>
      <w:r w:rsidRPr="009E20DA">
        <w:rPr>
          <w:iCs/>
          <w:color w:val="0070C0"/>
          <w:lang w:val="fr-CA"/>
        </w:rPr>
        <w:t>Identification des actifs : Cataloguer les actifs informationnels et leur importance pour les opérations de l'organisation.</w:t>
      </w:r>
    </w:p>
    <w:p w14:paraId="493E31F1" w14:textId="0182EE24" w:rsidR="00424D01" w:rsidRPr="009E20DA" w:rsidRDefault="00424D01" w:rsidP="00424D01">
      <w:pPr>
        <w:pStyle w:val="ListParagraph"/>
        <w:numPr>
          <w:ilvl w:val="0"/>
          <w:numId w:val="17"/>
        </w:numPr>
        <w:rPr>
          <w:iCs/>
          <w:color w:val="0070C0"/>
          <w:lang w:val="fr-CA"/>
        </w:rPr>
      </w:pPr>
      <w:r w:rsidRPr="009E20DA">
        <w:rPr>
          <w:iCs/>
          <w:color w:val="0070C0"/>
          <w:lang w:val="fr-CA"/>
        </w:rPr>
        <w:t>Analyse des menaces : Identifier les menaces potentielles, y compris les cyber-attaques, les catastrophes naturelles et les erreurs humaines.</w:t>
      </w:r>
    </w:p>
    <w:p w14:paraId="720ED70B" w14:textId="7D2DF6A6" w:rsidR="00424D01" w:rsidRPr="009E20DA" w:rsidRDefault="00424D01" w:rsidP="00424D01">
      <w:pPr>
        <w:pStyle w:val="ListParagraph"/>
        <w:numPr>
          <w:ilvl w:val="0"/>
          <w:numId w:val="17"/>
        </w:numPr>
        <w:rPr>
          <w:iCs/>
          <w:color w:val="0070C0"/>
          <w:lang w:val="fr-CA"/>
        </w:rPr>
      </w:pPr>
      <w:r w:rsidRPr="009E20DA">
        <w:rPr>
          <w:iCs/>
          <w:color w:val="0070C0"/>
          <w:lang w:val="fr-CA"/>
        </w:rPr>
        <w:t>Évaluation de la vulnérabilité : Déterminer les faiblesses qui pourraient être exploitées par des menaces.</w:t>
      </w:r>
    </w:p>
    <w:p w14:paraId="3E5CC1CC" w14:textId="6CBB8EC6" w:rsidR="00424D01" w:rsidRPr="009E20DA" w:rsidRDefault="00424D01" w:rsidP="00424D01">
      <w:pPr>
        <w:pStyle w:val="ListParagraph"/>
        <w:numPr>
          <w:ilvl w:val="0"/>
          <w:numId w:val="17"/>
        </w:numPr>
        <w:rPr>
          <w:iCs/>
          <w:color w:val="0070C0"/>
          <w:lang w:val="fr-CA"/>
        </w:rPr>
      </w:pPr>
      <w:r w:rsidRPr="009E20DA">
        <w:rPr>
          <w:iCs/>
          <w:color w:val="0070C0"/>
          <w:lang w:val="fr-CA"/>
        </w:rPr>
        <w:t>Analyse d'impact : Évaluer les conséquences potentielles des événements à risque sur les opérations et les actifs.</w:t>
      </w:r>
    </w:p>
    <w:p w14:paraId="0783923E" w14:textId="6BA28416" w:rsidR="00424D01" w:rsidRPr="009E20DA" w:rsidRDefault="00424D01" w:rsidP="00424D01">
      <w:pPr>
        <w:pStyle w:val="ListParagraph"/>
        <w:numPr>
          <w:ilvl w:val="0"/>
          <w:numId w:val="17"/>
        </w:numPr>
        <w:rPr>
          <w:iCs/>
          <w:color w:val="0070C0"/>
          <w:lang w:val="fr-CA"/>
        </w:rPr>
      </w:pPr>
      <w:r w:rsidRPr="009E20DA">
        <w:rPr>
          <w:iCs/>
          <w:color w:val="0070C0"/>
          <w:lang w:val="fr-CA"/>
        </w:rPr>
        <w:t>Évaluation des risques : Classer les risques par ordre de priorité en fonction de leur impact et de leur probabilité.</w:t>
      </w:r>
    </w:p>
    <w:p w14:paraId="5D8E13E9" w14:textId="5D7AC6AB" w:rsidR="00424D01" w:rsidRPr="009E20DA" w:rsidRDefault="00424D01" w:rsidP="00424D01">
      <w:pPr>
        <w:ind w:left="0"/>
        <w:rPr>
          <w:iCs/>
          <w:lang w:val="fr-CA"/>
        </w:rPr>
      </w:pPr>
      <w:r w:rsidRPr="009E20DA">
        <w:rPr>
          <w:iCs/>
          <w:lang w:val="fr-CA"/>
        </w:rPr>
        <w:t>4. Stratégies d'atténuation des risques</w:t>
      </w:r>
    </w:p>
    <w:p w14:paraId="2E9EC51C" w14:textId="11F8FD9B" w:rsidR="00424D01" w:rsidRPr="009E20DA" w:rsidRDefault="00424D01" w:rsidP="00424D01">
      <w:pPr>
        <w:ind w:left="0"/>
        <w:rPr>
          <w:iCs/>
          <w:lang w:val="fr-CA"/>
        </w:rPr>
      </w:pPr>
      <w:r w:rsidRPr="009E20DA">
        <w:rPr>
          <w:iCs/>
          <w:lang w:val="fr-CA"/>
        </w:rPr>
        <w:t>Pour faire face aux risques identifiés, nous mettons en œuvre</w:t>
      </w:r>
    </w:p>
    <w:p w14:paraId="1BFC997E" w14:textId="1EC85289" w:rsidR="00424D01" w:rsidRPr="009E20DA" w:rsidRDefault="00424D01" w:rsidP="00424D01">
      <w:pPr>
        <w:pStyle w:val="ListParagraph"/>
        <w:numPr>
          <w:ilvl w:val="0"/>
          <w:numId w:val="17"/>
        </w:numPr>
        <w:rPr>
          <w:iCs/>
          <w:color w:val="0070C0"/>
          <w:lang w:val="fr-CA"/>
        </w:rPr>
      </w:pPr>
      <w:r w:rsidRPr="009E20DA">
        <w:rPr>
          <w:iCs/>
          <w:color w:val="0070C0"/>
          <w:lang w:val="fr-CA"/>
        </w:rPr>
        <w:t xml:space="preserve">Contrôles préventifs : Mesures telles que </w:t>
      </w:r>
      <w:proofErr w:type="gramStart"/>
      <w:r w:rsidRPr="009E20DA">
        <w:rPr>
          <w:iCs/>
          <w:color w:val="0070C0"/>
          <w:lang w:val="fr-CA"/>
        </w:rPr>
        <w:t>les pare-feu</w:t>
      </w:r>
      <w:proofErr w:type="gramEnd"/>
      <w:r w:rsidRPr="009E20DA">
        <w:rPr>
          <w:iCs/>
          <w:color w:val="0070C0"/>
          <w:lang w:val="fr-CA"/>
        </w:rPr>
        <w:t>, les contrôles d'accès et le cryptage pour prévenir les incidents.</w:t>
      </w:r>
    </w:p>
    <w:p w14:paraId="449933D7" w14:textId="7D9FECBC" w:rsidR="00424D01" w:rsidRPr="009E20DA" w:rsidRDefault="00424D01" w:rsidP="00424D01">
      <w:pPr>
        <w:pStyle w:val="ListParagraph"/>
        <w:numPr>
          <w:ilvl w:val="0"/>
          <w:numId w:val="17"/>
        </w:numPr>
        <w:rPr>
          <w:iCs/>
          <w:color w:val="0070C0"/>
          <w:lang w:val="fr-CA"/>
        </w:rPr>
      </w:pPr>
      <w:r w:rsidRPr="009E20DA">
        <w:rPr>
          <w:iCs/>
          <w:color w:val="0070C0"/>
          <w:lang w:val="fr-CA"/>
        </w:rPr>
        <w:t>Contrôles de détection : Systèmes tels que la détection d'intrusion pour identifier et alerter sur les incidents.</w:t>
      </w:r>
    </w:p>
    <w:p w14:paraId="44669A5E" w14:textId="18BF750C" w:rsidR="00424D01" w:rsidRPr="009E20DA" w:rsidRDefault="00424D01" w:rsidP="00424D01">
      <w:pPr>
        <w:pStyle w:val="ListParagraph"/>
        <w:numPr>
          <w:ilvl w:val="0"/>
          <w:numId w:val="17"/>
        </w:numPr>
        <w:rPr>
          <w:iCs/>
          <w:color w:val="0070C0"/>
          <w:lang w:val="fr-CA"/>
        </w:rPr>
      </w:pPr>
      <w:r w:rsidRPr="009E20DA">
        <w:rPr>
          <w:iCs/>
          <w:color w:val="0070C0"/>
          <w:lang w:val="fr-CA"/>
        </w:rPr>
        <w:t>Contrôles correctifs : Procédures de restauration des systèmes et des données après un incident.</w:t>
      </w:r>
    </w:p>
    <w:p w14:paraId="2F3CEB21" w14:textId="58C9EAC8" w:rsidR="00424D01" w:rsidRPr="009E20DA" w:rsidRDefault="00424D01" w:rsidP="00424D01">
      <w:pPr>
        <w:ind w:left="0"/>
        <w:rPr>
          <w:iCs/>
          <w:lang w:val="fr-CA"/>
        </w:rPr>
      </w:pPr>
      <w:r w:rsidRPr="009E20DA">
        <w:rPr>
          <w:iCs/>
          <w:lang w:val="fr-CA"/>
        </w:rPr>
        <w:lastRenderedPageBreak/>
        <w:t>5. Contrôle et révision continus</w:t>
      </w:r>
    </w:p>
    <w:p w14:paraId="4F1528CE" w14:textId="05FC80A5" w:rsidR="00424D01" w:rsidRPr="009E20DA" w:rsidRDefault="00424D01" w:rsidP="00424D01">
      <w:pPr>
        <w:ind w:left="0"/>
        <w:rPr>
          <w:iCs/>
          <w:lang w:val="fr-CA"/>
        </w:rPr>
      </w:pPr>
      <w:r w:rsidRPr="009E20DA">
        <w:rPr>
          <w:iCs/>
          <w:lang w:val="fr-CA"/>
        </w:rPr>
        <w:t>Conscients de la nature dynamique des cybermenaces, nou</w:t>
      </w:r>
      <w:r w:rsidR="00D91EB4">
        <w:rPr>
          <w:iCs/>
          <w:lang w:val="fr-CA"/>
        </w:rPr>
        <w:t>s</w:t>
      </w:r>
      <w:r w:rsidRPr="009E20DA">
        <w:rPr>
          <w:iCs/>
          <w:lang w:val="fr-CA"/>
        </w:rPr>
        <w:t xml:space="preserve"> :</w:t>
      </w:r>
    </w:p>
    <w:p w14:paraId="79CB3C2D" w14:textId="3209F8B1" w:rsidR="00424D01" w:rsidRPr="009E20DA" w:rsidRDefault="00424D01" w:rsidP="00424D01">
      <w:pPr>
        <w:pStyle w:val="ListParagraph"/>
        <w:numPr>
          <w:ilvl w:val="0"/>
          <w:numId w:val="17"/>
        </w:numPr>
        <w:rPr>
          <w:iCs/>
          <w:color w:val="0070C0"/>
          <w:lang w:val="fr-CA"/>
        </w:rPr>
      </w:pPr>
      <w:r w:rsidRPr="009E20DA">
        <w:rPr>
          <w:iCs/>
          <w:color w:val="0070C0"/>
          <w:lang w:val="fr-CA"/>
        </w:rPr>
        <w:t>Mettre régulièrement à jour les évaluations des risques : Refléter les changements dans le paysage des menaces et les opérations de l'organisation.</w:t>
      </w:r>
    </w:p>
    <w:p w14:paraId="04D08648" w14:textId="5E2A49E9" w:rsidR="00424D01" w:rsidRPr="009E20DA" w:rsidRDefault="00424D01" w:rsidP="00424D01">
      <w:pPr>
        <w:pStyle w:val="ListParagraph"/>
        <w:numPr>
          <w:ilvl w:val="0"/>
          <w:numId w:val="17"/>
        </w:numPr>
        <w:rPr>
          <w:iCs/>
          <w:color w:val="0070C0"/>
          <w:lang w:val="fr-CA"/>
        </w:rPr>
      </w:pPr>
      <w:r w:rsidRPr="009E20DA">
        <w:rPr>
          <w:iCs/>
          <w:color w:val="0070C0"/>
          <w:lang w:val="fr-CA"/>
        </w:rPr>
        <w:t>Auditer les contrôles : S'assurer que les contrôles mis en œuvre sont efficaces et conformes aux politiques.</w:t>
      </w:r>
    </w:p>
    <w:p w14:paraId="4EBC3C6A" w14:textId="4130A443" w:rsidR="00424D01" w:rsidRPr="009E20DA" w:rsidRDefault="00424D01" w:rsidP="00424D01">
      <w:pPr>
        <w:ind w:left="0"/>
        <w:rPr>
          <w:iCs/>
          <w:lang w:val="fr-CA"/>
        </w:rPr>
      </w:pPr>
      <w:r w:rsidRPr="009E20DA">
        <w:rPr>
          <w:iCs/>
          <w:lang w:val="fr-CA"/>
        </w:rPr>
        <w:t>En adhérant à cette approche de gestion des risques, [Nom de l'organisation] s'engage à protéger ses actifs informationnels et à maintenir sa résilience face à l'évolution des cybermenaces.</w:t>
      </w:r>
    </w:p>
    <w:p w14:paraId="2E3BB794" w14:textId="21FF3D58" w:rsidR="002D12ED" w:rsidRPr="009E20DA" w:rsidRDefault="00AB6ECA" w:rsidP="002D12ED">
      <w:pPr>
        <w:rPr>
          <w:color w:val="0070C0"/>
          <w:lang w:val="fr-CA"/>
        </w:rPr>
      </w:pPr>
      <w:r>
        <w:rPr>
          <w:noProof/>
          <w:color w:val="0070C0"/>
          <w14:ligatures w14:val="standardContextual"/>
        </w:rPr>
        <mc:AlternateContent>
          <mc:Choice Requires="wps">
            <w:drawing>
              <wp:anchor distT="0" distB="0" distL="114300" distR="114300" simplePos="0" relativeHeight="251658246" behindDoc="0" locked="0" layoutInCell="1" allowOverlap="1" wp14:anchorId="3F421C78" wp14:editId="5C04FCEC">
                <wp:simplePos x="0" y="0"/>
                <wp:positionH relativeFrom="margin">
                  <wp:align>left</wp:align>
                </wp:positionH>
                <wp:positionV relativeFrom="paragraph">
                  <wp:posOffset>327660</wp:posOffset>
                </wp:positionV>
                <wp:extent cx="6286500" cy="626110"/>
                <wp:effectExtent l="0" t="0" r="0" b="2540"/>
                <wp:wrapTopAndBottom/>
                <wp:docPr id="1430381289" name="Text Box 1"/>
                <wp:cNvGraphicFramePr/>
                <a:graphic xmlns:a="http://schemas.openxmlformats.org/drawingml/2006/main">
                  <a:graphicData uri="http://schemas.microsoft.com/office/word/2010/wordprocessingShape">
                    <wps:wsp>
                      <wps:cNvSpPr txBox="1"/>
                      <wps:spPr>
                        <a:xfrm>
                          <a:off x="0" y="0"/>
                          <a:ext cx="6286500" cy="626533"/>
                        </a:xfrm>
                        <a:prstGeom prst="rect">
                          <a:avLst/>
                        </a:prstGeom>
                        <a:solidFill>
                          <a:srgbClr val="FFFFFF">
                            <a:lumMod val="95000"/>
                          </a:srgbClr>
                        </a:solidFill>
                        <a:ln w="6350">
                          <a:noFill/>
                        </a:ln>
                      </wps:spPr>
                      <wps:txbx>
                        <w:txbxContent>
                          <w:p w14:paraId="4CF81781" w14:textId="43036F36" w:rsidR="003B280C" w:rsidRPr="009E20DA" w:rsidRDefault="003B280C" w:rsidP="003B280C">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décrire le processus d'identification, d'évaluation et d'atténuation des risques de cybersécurité, y compris les évaluations régulières des risques et la mise en œuvre de contrôles appropriés.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21C78" id="_x0000_s1032" type="#_x0000_t202" style="position:absolute;left:0;text-align:left;margin-left:0;margin-top:25.8pt;width:495pt;height:49.3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" fillcolor="#f2f2f2" stroked="f" strokeweight=".5pt">
                <v:textbox>
                  <w:txbxContent>
                    <w:p w14:paraId="4CF81781" w14:textId="43036F36" w:rsidR="003B280C" w:rsidRPr="009E20DA" w:rsidRDefault="003B280C" w:rsidP="003B280C">
                      <w:pPr>
                        <w:ind w:left="0"/>
                        <w:rPr>
                          <w:b/>
                          <w:bCs/>
                          <w:i/>
                          <w:color w:val="595959" w:themeColor="text1" w:themeTint="A6"/>
                          <w:sz w:val="20"/>
                          <w:szCs w:val="20"/>
                          <w:lang w:val="fr-CA"/>
                        </w:rPr>
                      </w:pPr>
                      <w:r w:rsidRPr="009E20DA">
                        <w:rPr>
                          <w:b/>
                          <w:bCs/>
                          <w:i/>
                          <w:color w:val="595959" w:themeColor="text1" w:themeTint="A6"/>
                          <w:sz w:val="20"/>
                          <w:szCs w:val="20"/>
                          <w:lang w:val="fr-CA"/>
                        </w:rPr>
                        <w:t>Cette section doit décrire le processus d'identification, d'évaluation et d'atténuation des risques de cybersécurité, y compris les évaluations régulières des risques et la mise en œuvre de contrôles appropriés.</w:t>
                      </w:r>
                    </w:p>
                  </w:txbxContent>
                </v:textbox>
                <w10:wrap type="topAndBottom" anchorx="margin"/>
              </v:shape>
            </w:pict>
          </mc:Fallback>
        </mc:AlternateContent>
      </w:r>
    </w:p>
    <w:p w14:paraId="7416D07D" w14:textId="5E0B60F6" w:rsidR="002D12ED" w:rsidRPr="009E20DA" w:rsidRDefault="002D12ED" w:rsidP="00CF7151">
      <w:pPr>
        <w:ind w:left="0"/>
        <w:rPr>
          <w:color w:val="0070C0"/>
          <w:lang w:val="fr-CA"/>
        </w:rPr>
      </w:pPr>
    </w:p>
    <w:p w14:paraId="4DD5266C" w14:textId="04547381" w:rsidR="001F7652" w:rsidRDefault="002D12ED" w:rsidP="001F7652">
      <w:pPr>
        <w:pStyle w:val="Heading1"/>
      </w:pPr>
      <w:bookmarkStart w:id="10" w:name="_Hlk184036474"/>
      <w:bookmarkStart w:id="11" w:name="_Hlk188855636"/>
      <w:r w:rsidRPr="002D12ED">
        <w:t>Contrôles de sécurité</w:t>
      </w:r>
    </w:p>
    <w:bookmarkEnd w:id="10"/>
    <w:p w14:paraId="10AD52E4" w14:textId="7A4C7840" w:rsidR="00717DC2" w:rsidRPr="009E20DA" w:rsidRDefault="00F83DFF" w:rsidP="00711C33">
      <w:pPr>
        <w:rPr>
          <w:color w:val="0070C0"/>
          <w:lang w:val="fr-CA"/>
        </w:rPr>
      </w:pPr>
      <w:r>
        <w:rPr>
          <w:color w:val="0070C0"/>
        </w:rPr>
        <w:fldChar w:fldCharType="begin">
          <w:ffData>
            <w:name w:val=""/>
            <w:enabled/>
            <w:calcOnExit w:val="0"/>
            <w:textInput>
              <w:default w:val="[Insert Security Control Measures]"/>
            </w:textInput>
          </w:ffData>
        </w:fldChar>
      </w:r>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[Insérer les mesures de contrôle de la sécurité]</w:t>
      </w:r>
      <w:r>
        <w:rPr>
          <w:color w:val="0070C0"/>
        </w:rPr>
        <w:fldChar w:fldCharType="end"/>
      </w:r>
    </w:p>
    <w:p w14:paraId="2381CF58" w14:textId="77777777" w:rsidR="00717DC2" w:rsidRPr="009E20DA" w:rsidRDefault="00717DC2" w:rsidP="00717DC2">
      <w:pPr>
        <w:ind w:left="0"/>
        <w:rPr>
          <w:iCs/>
          <w:lang w:val="fr-CA"/>
        </w:rPr>
      </w:pPr>
      <w:r w:rsidRPr="009E20DA">
        <w:rPr>
          <w:iCs/>
          <w:lang w:val="fr-CA"/>
        </w:rPr>
        <w:t xml:space="preserve">Pour protéger les informations de </w:t>
      </w:r>
      <w:r w:rsidRPr="009E20DA">
        <w:rPr>
          <w:iCs/>
          <w:color w:val="0070C0"/>
          <w:lang w:val="fr-CA"/>
        </w:rPr>
        <w:t>[Nom de l'organisation]</w:t>
      </w:r>
      <w:r w:rsidRPr="009E20DA">
        <w:rPr>
          <w:iCs/>
          <w:lang w:val="fr-CA"/>
        </w:rPr>
        <w:t>, nous mettons en œuvre les mesures administratives suivantes :</w:t>
      </w:r>
    </w:p>
    <w:p w14:paraId="45FC36D0" w14:textId="77777777" w:rsidR="00717DC2" w:rsidRPr="009E20DA" w:rsidRDefault="00717DC2" w:rsidP="00717DC2">
      <w:pPr>
        <w:ind w:left="0"/>
        <w:rPr>
          <w:iCs/>
          <w:lang w:val="fr-CA"/>
        </w:rPr>
      </w:pPr>
      <w:r w:rsidRPr="009E20DA">
        <w:rPr>
          <w:iCs/>
          <w:lang w:val="fr-CA"/>
        </w:rPr>
        <w:t>1. Élaboration et mise en œuvre de la politique</w:t>
      </w:r>
    </w:p>
    <w:p w14:paraId="77CFAD37" w14:textId="77777777" w:rsidR="00717DC2" w:rsidRPr="009E20DA" w:rsidRDefault="00717DC2" w:rsidP="00717DC2">
      <w:pPr>
        <w:pStyle w:val="ListParagraph"/>
        <w:numPr>
          <w:ilvl w:val="0"/>
          <w:numId w:val="18"/>
        </w:numPr>
        <w:rPr>
          <w:iCs/>
          <w:color w:val="0070C0"/>
          <w:lang w:val="fr-CA"/>
        </w:rPr>
      </w:pPr>
      <w:r w:rsidRPr="009E20DA">
        <w:rPr>
          <w:iCs/>
          <w:color w:val="0070C0"/>
          <w:lang w:val="fr-CA"/>
        </w:rPr>
        <w:t>Politiques de sécurité de l'information : Établir des politiques globales décrivant les attentes et les protocoles en matière de sécurité pour l'ensemble du personnel.</w:t>
      </w:r>
    </w:p>
    <w:p w14:paraId="75350725" w14:textId="77777777" w:rsidR="00717DC2" w:rsidRPr="009E20DA" w:rsidRDefault="00717DC2" w:rsidP="00717DC2">
      <w:pPr>
        <w:pStyle w:val="ListParagraph"/>
        <w:numPr>
          <w:ilvl w:val="0"/>
          <w:numId w:val="18"/>
        </w:numPr>
        <w:rPr>
          <w:iCs/>
          <w:color w:val="0070C0"/>
          <w:lang w:val="fr-CA"/>
        </w:rPr>
      </w:pPr>
      <w:r w:rsidRPr="009E20DA">
        <w:rPr>
          <w:iCs/>
          <w:color w:val="0070C0"/>
          <w:lang w:val="fr-CA"/>
        </w:rPr>
        <w:t>Politique d'utilisation acceptable : Définir l'utilisation appropriée des ressources de l'organisation, y compris l'internet, le courrier électronique et les appareils.</w:t>
      </w:r>
    </w:p>
    <w:p w14:paraId="0E601380" w14:textId="77777777" w:rsidR="00717DC2" w:rsidRPr="009E20DA" w:rsidRDefault="00717DC2" w:rsidP="00717DC2">
      <w:pPr>
        <w:pStyle w:val="ListParagraph"/>
        <w:numPr>
          <w:ilvl w:val="0"/>
          <w:numId w:val="18"/>
        </w:numPr>
        <w:rPr>
          <w:iCs/>
          <w:color w:val="0070C0"/>
          <w:lang w:val="fr-CA"/>
        </w:rPr>
      </w:pPr>
      <w:r w:rsidRPr="009E20DA">
        <w:rPr>
          <w:iCs/>
          <w:color w:val="0070C0"/>
          <w:lang w:val="fr-CA"/>
        </w:rPr>
        <w:t>Politique de classification des données : Classer les données en fonction de leur sensibilité afin de déterminer les niveaux de protection requis.</w:t>
      </w:r>
    </w:p>
    <w:p w14:paraId="16D8CF1F" w14:textId="77777777" w:rsidR="00717DC2" w:rsidRPr="00E903D1" w:rsidRDefault="00717DC2" w:rsidP="00717DC2">
      <w:pPr>
        <w:ind w:left="0"/>
        <w:rPr>
          <w:iCs/>
        </w:rPr>
      </w:pPr>
      <w:r w:rsidRPr="00E903D1">
        <w:rPr>
          <w:iCs/>
        </w:rPr>
        <w:t>2. Gestion de l'accès</w:t>
      </w:r>
    </w:p>
    <w:p w14:paraId="168EA5E4" w14:textId="77777777" w:rsidR="00717DC2" w:rsidRPr="009E20DA" w:rsidRDefault="00717DC2" w:rsidP="00717DC2">
      <w:pPr>
        <w:pStyle w:val="ListParagraph"/>
        <w:numPr>
          <w:ilvl w:val="0"/>
          <w:numId w:val="19"/>
        </w:numPr>
        <w:rPr>
          <w:iCs/>
          <w:color w:val="0070C0"/>
          <w:lang w:val="fr-CA"/>
        </w:rPr>
      </w:pPr>
      <w:r w:rsidRPr="009E20DA">
        <w:rPr>
          <w:iCs/>
          <w:color w:val="0070C0"/>
          <w:lang w:val="fr-CA"/>
        </w:rPr>
        <w:t>Procédures de contrôle d'accès : Mettre en œuvre des processus pour accorder, modifier et révoquer les droits d'accès, afin de s'assurer que seules les personnes autorisées accèdent à des informations spécifiques.</w:t>
      </w:r>
    </w:p>
    <w:p w14:paraId="797ED632" w14:textId="77777777" w:rsidR="00717DC2" w:rsidRPr="009E20DA" w:rsidRDefault="00717DC2" w:rsidP="00717DC2">
      <w:pPr>
        <w:pStyle w:val="ListParagraph"/>
        <w:numPr>
          <w:ilvl w:val="0"/>
          <w:numId w:val="19"/>
        </w:numPr>
        <w:rPr>
          <w:iCs/>
          <w:color w:val="0070C0"/>
          <w:lang w:val="fr-CA"/>
        </w:rPr>
      </w:pPr>
      <w:r w:rsidRPr="009E20DA">
        <w:rPr>
          <w:iCs/>
          <w:color w:val="0070C0"/>
          <w:lang w:val="fr-CA"/>
        </w:rPr>
        <w:t>Principe du moindre privilège : Restreindre l'accès des utilisateurs au minimum nécessaire à l'exercice de leurs fonctions.</w:t>
      </w:r>
    </w:p>
    <w:p w14:paraId="11EC291D" w14:textId="77777777" w:rsidR="00717DC2" w:rsidRPr="009E20DA" w:rsidRDefault="00717DC2" w:rsidP="00717DC2">
      <w:pPr>
        <w:pStyle w:val="ListParagraph"/>
        <w:numPr>
          <w:ilvl w:val="0"/>
          <w:numId w:val="19"/>
        </w:numPr>
        <w:rPr>
          <w:iCs/>
          <w:color w:val="0070C0"/>
          <w:lang w:val="fr-CA"/>
        </w:rPr>
      </w:pPr>
      <w:r w:rsidRPr="009E20DA">
        <w:rPr>
          <w:iCs/>
          <w:color w:val="0070C0"/>
          <w:lang w:val="fr-CA"/>
        </w:rPr>
        <w:t>Examens réguliers des accès : Effectuer des audits périodiques pour vérifier les niveaux d'accès appropriés.</w:t>
      </w:r>
    </w:p>
    <w:p w14:paraId="2BF1F535" w14:textId="77777777" w:rsidR="00717DC2" w:rsidRPr="009E20DA" w:rsidRDefault="00717DC2" w:rsidP="00717DC2">
      <w:pPr>
        <w:ind w:left="0"/>
        <w:rPr>
          <w:iCs/>
          <w:lang w:val="fr-CA"/>
        </w:rPr>
      </w:pPr>
      <w:r w:rsidRPr="009E20DA">
        <w:rPr>
          <w:iCs/>
          <w:lang w:val="fr-CA"/>
        </w:rPr>
        <w:t>3. Sécurité du personnel</w:t>
      </w:r>
    </w:p>
    <w:p w14:paraId="7C58CA84" w14:textId="77777777" w:rsidR="00717DC2" w:rsidRPr="009E20DA" w:rsidRDefault="00717DC2" w:rsidP="00717DC2">
      <w:pPr>
        <w:ind w:left="0"/>
        <w:rPr>
          <w:iCs/>
          <w:color w:val="0070C0"/>
          <w:lang w:val="fr-CA"/>
        </w:rPr>
      </w:pPr>
      <w:r w:rsidRPr="009E20DA">
        <w:rPr>
          <w:iCs/>
          <w:color w:val="0070C0"/>
          <w:lang w:val="fr-CA"/>
        </w:rPr>
        <w:t>Vérification des antécédents : Vérifier les antécédents des employés et des sous-traitants qui traitent des informations sensibles.</w:t>
      </w:r>
    </w:p>
    <w:p w14:paraId="755E291A" w14:textId="77777777" w:rsidR="00717DC2" w:rsidRPr="009E20DA" w:rsidRDefault="00717DC2" w:rsidP="00717DC2">
      <w:pPr>
        <w:pStyle w:val="ListParagraph"/>
        <w:numPr>
          <w:ilvl w:val="0"/>
          <w:numId w:val="20"/>
        </w:numPr>
        <w:rPr>
          <w:iCs/>
          <w:color w:val="0070C0"/>
          <w:lang w:val="fr-CA"/>
        </w:rPr>
      </w:pPr>
      <w:r w:rsidRPr="009E20DA">
        <w:rPr>
          <w:iCs/>
          <w:color w:val="0070C0"/>
          <w:lang w:val="fr-CA"/>
        </w:rPr>
        <w:t>Formation de sensibilisation à la sécurité : Fournir une formation continue sur les politiques de sécurité, la reconnaissance des menaces et les meilleures pratiques.</w:t>
      </w:r>
    </w:p>
    <w:p w14:paraId="385BD417" w14:textId="77777777" w:rsidR="00717DC2" w:rsidRPr="009E20DA" w:rsidRDefault="00717DC2" w:rsidP="00717DC2">
      <w:pPr>
        <w:pStyle w:val="ListParagraph"/>
        <w:numPr>
          <w:ilvl w:val="0"/>
          <w:numId w:val="20"/>
        </w:numPr>
        <w:rPr>
          <w:iCs/>
          <w:color w:val="0070C0"/>
          <w:lang w:val="fr-CA"/>
        </w:rPr>
      </w:pPr>
      <w:r w:rsidRPr="009E20DA">
        <w:rPr>
          <w:iCs/>
          <w:color w:val="0070C0"/>
          <w:lang w:val="fr-CA"/>
        </w:rPr>
        <w:t>Accords de confidentialité : Exiger du personnel qu'il signe des accords pour protéger les informations de l'organisation.</w:t>
      </w:r>
    </w:p>
    <w:p w14:paraId="35E443C2" w14:textId="77777777" w:rsidR="00717DC2" w:rsidRPr="009E20DA" w:rsidRDefault="00717DC2" w:rsidP="00717DC2">
      <w:pPr>
        <w:ind w:left="0"/>
        <w:rPr>
          <w:iCs/>
          <w:lang w:val="fr-CA"/>
        </w:rPr>
      </w:pPr>
      <w:r w:rsidRPr="009E20DA">
        <w:rPr>
          <w:iCs/>
          <w:lang w:val="fr-CA"/>
        </w:rPr>
        <w:lastRenderedPageBreak/>
        <w:t>4. Planification de la réponse aux incidents</w:t>
      </w:r>
    </w:p>
    <w:p w14:paraId="1108354F" w14:textId="29C374F3" w:rsidR="00717DC2" w:rsidRPr="009E20DA" w:rsidRDefault="00717DC2" w:rsidP="00717DC2">
      <w:pPr>
        <w:pStyle w:val="ListParagraph"/>
        <w:numPr>
          <w:ilvl w:val="0"/>
          <w:numId w:val="21"/>
        </w:numPr>
        <w:rPr>
          <w:iCs/>
          <w:color w:val="0070C0"/>
          <w:lang w:val="fr-CA"/>
        </w:rPr>
      </w:pPr>
      <w:r w:rsidRPr="009E20DA">
        <w:rPr>
          <w:iCs/>
          <w:color w:val="0070C0"/>
          <w:lang w:val="fr-CA"/>
        </w:rPr>
        <w:t>Plan d'intervention en cas d'incident : Élaborer et tenir à jour des procédures d'identification, de signalement et de traitement des incidents de sécurité.</w:t>
      </w:r>
    </w:p>
    <w:p w14:paraId="02F1C449" w14:textId="77777777" w:rsidR="00717DC2" w:rsidRPr="009E20DA" w:rsidRDefault="00717DC2" w:rsidP="00717DC2">
      <w:pPr>
        <w:pStyle w:val="ListParagraph"/>
        <w:numPr>
          <w:ilvl w:val="0"/>
          <w:numId w:val="21"/>
        </w:numPr>
        <w:rPr>
          <w:iCs/>
          <w:color w:val="0070C0"/>
          <w:lang w:val="fr-CA"/>
        </w:rPr>
      </w:pPr>
      <w:r w:rsidRPr="009E20DA">
        <w:rPr>
          <w:iCs/>
          <w:color w:val="0070C0"/>
          <w:lang w:val="fr-CA"/>
        </w:rPr>
        <w:t>Équipe de réponse aux incidents : Désigner une équipe chargée de gérer et d'atténuer les incidents.</w:t>
      </w:r>
    </w:p>
    <w:p w14:paraId="1003DAEC" w14:textId="77777777" w:rsidR="00717DC2" w:rsidRPr="009E20DA" w:rsidRDefault="00717DC2" w:rsidP="00717DC2">
      <w:pPr>
        <w:pStyle w:val="ListParagraph"/>
        <w:numPr>
          <w:ilvl w:val="0"/>
          <w:numId w:val="21"/>
        </w:numPr>
        <w:rPr>
          <w:iCs/>
          <w:color w:val="0070C0"/>
          <w:lang w:val="fr-CA"/>
        </w:rPr>
      </w:pPr>
      <w:r w:rsidRPr="009E20DA">
        <w:rPr>
          <w:iCs/>
          <w:color w:val="0070C0"/>
          <w:lang w:val="fr-CA"/>
        </w:rPr>
        <w:t>Analyse post-incident : Effectuer des analyses pour identifier les leçons apprises et améliorer les réponses futures.</w:t>
      </w:r>
    </w:p>
    <w:p w14:paraId="7EF23E44" w14:textId="77777777" w:rsidR="00717DC2" w:rsidRPr="00E903D1" w:rsidRDefault="00717DC2" w:rsidP="00717DC2">
      <w:pPr>
        <w:ind w:left="0"/>
        <w:rPr>
          <w:iCs/>
        </w:rPr>
      </w:pPr>
      <w:r w:rsidRPr="00E903D1">
        <w:rPr>
          <w:iCs/>
        </w:rPr>
        <w:t>5. Gestion des risques</w:t>
      </w:r>
    </w:p>
    <w:p w14:paraId="2E4B9FD4" w14:textId="77777777" w:rsidR="00717DC2" w:rsidRPr="009E20DA" w:rsidRDefault="00717DC2" w:rsidP="00717DC2">
      <w:pPr>
        <w:pStyle w:val="ListParagraph"/>
        <w:numPr>
          <w:ilvl w:val="0"/>
          <w:numId w:val="22"/>
        </w:numPr>
        <w:rPr>
          <w:iCs/>
          <w:color w:val="0070C0"/>
          <w:lang w:val="fr-CA"/>
        </w:rPr>
      </w:pPr>
      <w:r w:rsidRPr="009E20DA">
        <w:rPr>
          <w:iCs/>
          <w:color w:val="0070C0"/>
          <w:lang w:val="fr-CA"/>
        </w:rPr>
        <w:t>Évaluations des risques : Évaluer régulièrement les menaces potentielles et les vulnérabilités des actifs informationnels.</w:t>
      </w:r>
    </w:p>
    <w:p w14:paraId="263F5BDD" w14:textId="77777777" w:rsidR="00717DC2" w:rsidRPr="009E20DA" w:rsidRDefault="00717DC2" w:rsidP="00717DC2">
      <w:pPr>
        <w:pStyle w:val="ListParagraph"/>
        <w:numPr>
          <w:ilvl w:val="0"/>
          <w:numId w:val="22"/>
        </w:numPr>
        <w:rPr>
          <w:iCs/>
          <w:color w:val="0070C0"/>
          <w:lang w:val="fr-CA"/>
        </w:rPr>
      </w:pPr>
      <w:r w:rsidRPr="009E20DA">
        <w:rPr>
          <w:iCs/>
          <w:color w:val="0070C0"/>
          <w:lang w:val="fr-CA"/>
        </w:rPr>
        <w:t>Stratégies d'atténuation des risques : Mettre en œuvre des contrôles pour ramener les risques identifiés à des niveaux acceptables.</w:t>
      </w:r>
    </w:p>
    <w:p w14:paraId="67B3EA93" w14:textId="77777777" w:rsidR="00717DC2" w:rsidRPr="009E20DA" w:rsidRDefault="00717DC2" w:rsidP="00717DC2">
      <w:pPr>
        <w:pStyle w:val="ListParagraph"/>
        <w:numPr>
          <w:ilvl w:val="0"/>
          <w:numId w:val="22"/>
        </w:numPr>
        <w:rPr>
          <w:iCs/>
          <w:color w:val="0070C0"/>
          <w:lang w:val="fr-CA"/>
        </w:rPr>
      </w:pPr>
      <w:r w:rsidRPr="009E20DA">
        <w:rPr>
          <w:iCs/>
          <w:color w:val="0070C0"/>
          <w:lang w:val="fr-CA"/>
        </w:rPr>
        <w:t>Surveillance continue : Suivre l'évolution de l'environnement de risque et l'efficacité des contrôles.</w:t>
      </w:r>
    </w:p>
    <w:p w14:paraId="7C3AF991" w14:textId="77777777" w:rsidR="00717DC2" w:rsidRPr="00E903D1" w:rsidRDefault="00717DC2" w:rsidP="00717DC2">
      <w:pPr>
        <w:ind w:left="0"/>
        <w:rPr>
          <w:iCs/>
        </w:rPr>
      </w:pPr>
      <w:r w:rsidRPr="00E903D1">
        <w:rPr>
          <w:iCs/>
        </w:rPr>
        <w:t>6. Conformité et audit</w:t>
      </w:r>
    </w:p>
    <w:p w14:paraId="7D852CA7" w14:textId="6C0FBC43" w:rsidR="00717DC2" w:rsidRPr="009E20DA" w:rsidRDefault="00717DC2" w:rsidP="00717DC2">
      <w:pPr>
        <w:pStyle w:val="ListParagraph"/>
        <w:numPr>
          <w:ilvl w:val="0"/>
          <w:numId w:val="23"/>
        </w:numPr>
        <w:rPr>
          <w:iCs/>
          <w:color w:val="0070C0"/>
          <w:lang w:val="fr-CA"/>
        </w:rPr>
      </w:pPr>
      <w:r w:rsidRPr="009E20DA">
        <w:rPr>
          <w:iCs/>
          <w:color w:val="0070C0"/>
          <w:lang w:val="fr-CA"/>
        </w:rPr>
        <w:t>Conformité réglementaire : Assurer le respect des lois et des normes applicables.</w:t>
      </w:r>
    </w:p>
    <w:p w14:paraId="790F01F8" w14:textId="77777777" w:rsidR="00717DC2" w:rsidRPr="009E20DA" w:rsidRDefault="00717DC2" w:rsidP="00717DC2">
      <w:pPr>
        <w:pStyle w:val="ListParagraph"/>
        <w:numPr>
          <w:ilvl w:val="0"/>
          <w:numId w:val="23"/>
        </w:numPr>
        <w:rPr>
          <w:iCs/>
          <w:color w:val="0070C0"/>
          <w:lang w:val="fr-CA"/>
        </w:rPr>
      </w:pPr>
      <w:r w:rsidRPr="009E20DA">
        <w:rPr>
          <w:iCs/>
          <w:color w:val="0070C0"/>
          <w:lang w:val="fr-CA"/>
        </w:rPr>
        <w:t>Audits réguliers : Réaliser des audits internes et externes pour évaluer la conformité à la politique et l'efficacité des contrôles.</w:t>
      </w:r>
    </w:p>
    <w:p w14:paraId="4FCB784F" w14:textId="77777777" w:rsidR="00717DC2" w:rsidRPr="009E20DA" w:rsidRDefault="00717DC2" w:rsidP="00717DC2">
      <w:pPr>
        <w:pStyle w:val="ListParagraph"/>
        <w:numPr>
          <w:ilvl w:val="0"/>
          <w:numId w:val="23"/>
        </w:numPr>
        <w:rPr>
          <w:iCs/>
          <w:color w:val="0070C0"/>
          <w:lang w:val="fr-CA"/>
        </w:rPr>
      </w:pPr>
      <w:r w:rsidRPr="009E20DA">
        <w:rPr>
          <w:iCs/>
          <w:color w:val="0070C0"/>
          <w:lang w:val="fr-CA"/>
        </w:rPr>
        <w:t>Documentation : Conserver les enregistrements des efforts de mise en conformité et des résultats des audits.</w:t>
      </w:r>
    </w:p>
    <w:p w14:paraId="4BD35A39" w14:textId="77777777" w:rsidR="00717DC2" w:rsidRPr="00E903D1" w:rsidRDefault="00717DC2" w:rsidP="00717DC2">
      <w:pPr>
        <w:ind w:left="0"/>
        <w:rPr>
          <w:iCs/>
        </w:rPr>
      </w:pPr>
      <w:r w:rsidRPr="00E903D1">
        <w:rPr>
          <w:iCs/>
        </w:rPr>
        <w:t>7. Gestion par des tiers</w:t>
      </w:r>
    </w:p>
    <w:p w14:paraId="0639094A" w14:textId="77777777" w:rsidR="00717DC2" w:rsidRPr="009E20DA" w:rsidRDefault="00717DC2" w:rsidP="00717DC2">
      <w:pPr>
        <w:pStyle w:val="ListParagraph"/>
        <w:numPr>
          <w:ilvl w:val="0"/>
          <w:numId w:val="24"/>
        </w:numPr>
        <w:rPr>
          <w:iCs/>
          <w:color w:val="0070C0"/>
          <w:lang w:val="fr-CA"/>
        </w:rPr>
      </w:pPr>
      <w:r w:rsidRPr="009E20DA">
        <w:rPr>
          <w:iCs/>
          <w:color w:val="0070C0"/>
          <w:lang w:val="fr-CA"/>
        </w:rPr>
        <w:t>Évaluations de la sécurité des fournisseurs : Évaluer les pratiques de sécurité des partenaires tiers avant de les engager.</w:t>
      </w:r>
    </w:p>
    <w:p w14:paraId="5526016C" w14:textId="77777777" w:rsidR="00717DC2" w:rsidRPr="009E20DA" w:rsidRDefault="00717DC2" w:rsidP="00717DC2">
      <w:pPr>
        <w:pStyle w:val="ListParagraph"/>
        <w:numPr>
          <w:ilvl w:val="0"/>
          <w:numId w:val="24"/>
        </w:numPr>
        <w:rPr>
          <w:iCs/>
          <w:color w:val="0070C0"/>
          <w:lang w:val="fr-CA"/>
        </w:rPr>
      </w:pPr>
      <w:r w:rsidRPr="009E20DA">
        <w:rPr>
          <w:iCs/>
          <w:color w:val="0070C0"/>
          <w:lang w:val="fr-CA"/>
        </w:rPr>
        <w:t>Accords de niveau de service (SLA) : Inclure des exigences de sécurité dans les contrats avec les tiers.</w:t>
      </w:r>
    </w:p>
    <w:p w14:paraId="2E116626" w14:textId="77777777" w:rsidR="00717DC2" w:rsidRPr="009E20DA" w:rsidRDefault="00717DC2" w:rsidP="00717DC2">
      <w:pPr>
        <w:pStyle w:val="ListParagraph"/>
        <w:numPr>
          <w:ilvl w:val="0"/>
          <w:numId w:val="24"/>
        </w:numPr>
        <w:rPr>
          <w:iCs/>
          <w:color w:val="0070C0"/>
          <w:lang w:val="fr-CA"/>
        </w:rPr>
      </w:pPr>
      <w:r w:rsidRPr="009E20DA">
        <w:rPr>
          <w:iCs/>
          <w:color w:val="0070C0"/>
          <w:lang w:val="fr-CA"/>
        </w:rPr>
        <w:t>Contrôle continu : Vérifier régulièrement que les tiers respectent les normes de sécurité. En adhérant à cette approche de gestion des risques, [Nom de l'organisation] s'engage à protéger ses actifs informationnels et à maintenir sa résilience face à l'évolution des cybermenaces.</w:t>
      </w:r>
    </w:p>
    <w:p w14:paraId="6C889871" w14:textId="77777777" w:rsidR="00717DC2" w:rsidRPr="009E20DA" w:rsidRDefault="00717DC2" w:rsidP="00717DC2">
      <w:pPr>
        <w:ind w:left="0"/>
        <w:rPr>
          <w:iCs/>
          <w:lang w:val="fr-CA"/>
        </w:rPr>
      </w:pPr>
      <w:r w:rsidRPr="009E20DA">
        <w:rPr>
          <w:iCs/>
          <w:lang w:val="fr-CA"/>
        </w:rPr>
        <w:t xml:space="preserve">En mettant en œuvre ces mesures administratives, </w:t>
      </w:r>
      <w:r w:rsidRPr="009E20DA">
        <w:rPr>
          <w:iCs/>
          <w:color w:val="0070C0"/>
          <w:lang w:val="fr-CA"/>
        </w:rPr>
        <w:t xml:space="preserve">[Nom de l'organisation] </w:t>
      </w:r>
      <w:r w:rsidRPr="009E20DA">
        <w:rPr>
          <w:iCs/>
          <w:lang w:val="fr-CA"/>
        </w:rPr>
        <w:t xml:space="preserve">vise à mettre en place un dispositif de sécurité solide, garantissant la protection des actifs informationnels et la conformité avec les réglementations applicables. </w:t>
      </w:r>
    </w:p>
    <w:p w14:paraId="33C46F9A" w14:textId="26BC55A1" w:rsidR="00717DC2" w:rsidRPr="009E20DA" w:rsidRDefault="00B92375" w:rsidP="00B92375">
      <w:pPr>
        <w:rPr>
          <w:color w:val="0070C0"/>
          <w:lang w:val="fr-CA"/>
        </w:rPr>
      </w:pPr>
      <w:r>
        <w:rPr>
          <w:noProof/>
          <w:color w:val="0070C0"/>
          <w14:ligatures w14:val="standardContextual"/>
        </w:rPr>
        <mc:AlternateContent>
          <mc:Choice Requires="wps">
            <w:drawing>
              <wp:anchor distT="0" distB="0" distL="114300" distR="114300" simplePos="0" relativeHeight="251658247" behindDoc="0" locked="0" layoutInCell="1" allowOverlap="1" wp14:anchorId="280A3253" wp14:editId="1E523E90">
                <wp:simplePos x="0" y="0"/>
                <wp:positionH relativeFrom="margin">
                  <wp:posOffset>-234950</wp:posOffset>
                </wp:positionH>
                <wp:positionV relativeFrom="paragraph">
                  <wp:posOffset>269875</wp:posOffset>
                </wp:positionV>
                <wp:extent cx="6507480" cy="511810"/>
                <wp:effectExtent l="0" t="0" r="7620" b="2540"/>
                <wp:wrapTopAndBottom/>
                <wp:docPr id="1452496235" name="Text Box 1"/>
                <wp:cNvGraphicFramePr/>
                <a:graphic xmlns:a="http://schemas.openxmlformats.org/drawingml/2006/main">
                  <a:graphicData uri="http://schemas.microsoft.com/office/word/2010/wordprocessingShape">
                    <wps:wsp>
                      <wps:cNvSpPr txBox="1"/>
                      <wps:spPr>
                        <a:xfrm>
                          <a:off x="0" y="0"/>
                          <a:ext cx="6507480" cy="511810"/>
                        </a:xfrm>
                        <a:prstGeom prst="rect">
                          <a:avLst/>
                        </a:prstGeom>
                        <a:solidFill>
                          <a:srgbClr val="FFFFFF">
                            <a:lumMod val="95000"/>
                          </a:srgbClr>
                        </a:solidFill>
                        <a:ln w="6350">
                          <a:noFill/>
                        </a:ln>
                      </wps:spPr>
                      <wps:txbx>
                        <w:txbxContent>
                          <w:p w14:paraId="5D211740" w14:textId="77777777" w:rsidR="002D12ED" w:rsidRPr="009E20DA" w:rsidRDefault="002D12ED" w:rsidP="002D12ED">
                            <w:pPr>
                              <w:ind w:left="0"/>
                              <w:rPr>
                                <w:i/>
                                <w:color w:val="595959" w:themeColor="text1" w:themeTint="A6"/>
                                <w:sz w:val="20"/>
                                <w:szCs w:val="20"/>
                                <w:lang w:val="fr-CA"/>
                              </w:rPr>
                            </w:pPr>
                            <w:r w:rsidRPr="009E20DA">
                              <w:rPr>
                                <w:b/>
                                <w:bCs/>
                                <w:i/>
                                <w:color w:val="595959" w:themeColor="text1" w:themeTint="A6"/>
                                <w:sz w:val="20"/>
                                <w:szCs w:val="20"/>
                                <w:lang w:val="fr-CA"/>
                              </w:rPr>
                              <w:t>Cette section présente les mesures techniques et administratives mises en place pour protéger les actifs informationnels.</w:t>
                            </w:r>
                          </w:p>
                          <w:p w14:paraId="5985D501" w14:textId="26B3DBA2" w:rsidR="002D12ED" w:rsidRPr="009E20DA" w:rsidRDefault="002D12ED" w:rsidP="002D12ED">
                            <w:pPr>
                              <w:ind w:left="0"/>
                              <w:rPr>
                                <w:b/>
                                <w:bCs/>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3253" id="_x0000_s1033" type="#_x0000_t202" style="position:absolute;left:0;text-align:left;margin-left:-18.5pt;margin-top:21.25pt;width:512.4pt;height:40.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" fillcolor="#f2f2f2" stroked="f" strokeweight=".5pt">
                <v:textbox>
                  <w:txbxContent>
                    <w:p w14:paraId="5D211740" w14:textId="77777777" w:rsidR="002D12ED" w:rsidRPr="009E20DA" w:rsidRDefault="002D12ED" w:rsidP="002D12ED">
                      <w:pPr>
                        <w:ind w:left="0"/>
                        <w:rPr>
                          <w:i/>
                          <w:color w:val="595959" w:themeColor="text1" w:themeTint="A6"/>
                          <w:sz w:val="20"/>
                          <w:szCs w:val="20"/>
                          <w:lang w:val="fr-CA"/>
                        </w:rPr>
                      </w:pPr>
                      <w:r w:rsidRPr="009E20DA">
                        <w:rPr>
                          <w:b/>
                          <w:bCs/>
                          <w:i/>
                          <w:color w:val="595959" w:themeColor="text1" w:themeTint="A6"/>
                          <w:sz w:val="20"/>
                          <w:szCs w:val="20"/>
                          <w:lang w:val="fr-CA"/>
                        </w:rPr>
                        <w:t>Cette section présente les mesures techniques et administratives mises en place pour protéger les actifs informationnels.</w:t>
                      </w:r>
                    </w:p>
                    <w:p w14:paraId="5985D501" w14:textId="26B3DBA2" w:rsidR="002D12ED" w:rsidRPr="009E20DA" w:rsidRDefault="002D12ED" w:rsidP="002D12ED">
                      <w:pPr>
                        <w:ind w:left="0"/>
                        <w:rPr>
                          <w:b/>
                          <w:bCs/>
                          <w:i/>
                          <w:color w:val="595959" w:themeColor="text1" w:themeTint="A6"/>
                          <w:lang w:val="fr-CA"/>
                        </w:rPr>
                      </w:pPr>
                    </w:p>
                  </w:txbxContent>
                </v:textbox>
                <w10:wrap type="topAndBottom" anchorx="margin"/>
              </v:shape>
            </w:pict>
          </mc:Fallback>
        </mc:AlternateContent>
      </w:r>
    </w:p>
    <w:bookmarkEnd w:id="11"/>
    <w:p w14:paraId="1562C822" w14:textId="14B2D93F" w:rsidR="0085328C" w:rsidRPr="009E20DA" w:rsidRDefault="0085328C" w:rsidP="00F83DFF">
      <w:pPr>
        <w:ind w:left="0"/>
        <w:rPr>
          <w:color w:val="0070C0"/>
          <w:lang w:val="fr-CA"/>
        </w:rPr>
      </w:pPr>
    </w:p>
    <w:p w14:paraId="6417ED49" w14:textId="29826382" w:rsidR="0082519A" w:rsidRDefault="0082519A" w:rsidP="0082519A">
      <w:pPr>
        <w:pStyle w:val="Heading1"/>
      </w:pPr>
      <w:r w:rsidRPr="0082519A">
        <w:t>Examen et approbation des politiques</w:t>
      </w:r>
    </w:p>
    <w:p w14:paraId="2F29D5A3" w14:textId="55084DFB" w:rsidR="0082519A" w:rsidRPr="009E20DA" w:rsidRDefault="0082519A" w:rsidP="0082519A">
      <w:pPr>
        <w:rPr>
          <w:lang w:val="fr-CA"/>
        </w:rPr>
      </w:pPr>
      <w:r w:rsidRPr="009E20DA">
        <w:rPr>
          <w:lang w:val="fr-CA"/>
        </w:rPr>
        <w:t>La présente politique de confidentialité des données et de cybersécurité est réexaminée chaque année afin de s'assurer qu'elle reste d'actualité, efficace et conforme à l'évolution des menaces de cybersécurité, des exigences légales et des meilleures pratiques. Toute mise à jour nécessaire sera documentée et communiquée à l'ensemble du personnel concerné.</w:t>
      </w:r>
    </w:p>
    <w:p w14:paraId="52D2EE90" w14:textId="77777777" w:rsidR="0082519A" w:rsidRPr="009E20DA" w:rsidRDefault="0082519A" w:rsidP="0082519A">
      <w:pPr>
        <w:rPr>
          <w:color w:val="0070C0"/>
          <w:lang w:val="fr-CA"/>
        </w:rPr>
      </w:pPr>
    </w:p>
    <w:p w14:paraId="1FA75C3C" w14:textId="77777777" w:rsidR="0082519A" w:rsidRPr="009E20DA" w:rsidRDefault="0082519A" w:rsidP="0082519A">
      <w:pPr>
        <w:rPr>
          <w:b/>
          <w:bCs/>
          <w:lang w:val="fr-CA"/>
        </w:rPr>
      </w:pPr>
      <w:r w:rsidRPr="009E20DA">
        <w:rPr>
          <w:b/>
          <w:bCs/>
          <w:lang w:val="fr-CA"/>
        </w:rPr>
        <w:t>Calendrier de révision</w:t>
      </w:r>
    </w:p>
    <w:p w14:paraId="728A2390" w14:textId="2F4A8FFE" w:rsidR="0082519A" w:rsidRPr="009E20DA" w:rsidRDefault="0082519A" w:rsidP="0082519A">
      <w:pPr>
        <w:rPr>
          <w:color w:val="0070C0"/>
          <w:lang w:val="fr-CA"/>
        </w:rPr>
      </w:pPr>
      <w:r w:rsidRPr="009E20DA">
        <w:rPr>
          <w:lang w:val="fr-CA"/>
        </w:rPr>
        <w:t>- Prochaine date de révision :</w:t>
      </w:r>
      <w:bookmarkStart w:id="12" w:name="_Hlk188856058"/>
      <w:r>
        <w:rPr>
          <w:color w:val="0070C0"/>
        </w:rPr>
        <w:fldChar w:fldCharType="begin">
          <w:ffData>
            <w:name w:val=""/>
            <w:enabled/>
            <w:calcOnExit w:val="0"/>
            <w:textInput>
              <w:default w:val="[Insert Date]"/>
            </w:textInput>
          </w:ffData>
        </w:fldChar>
      </w:r>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 xml:space="preserve"> [Insérer la date]</w:t>
      </w:r>
      <w:r>
        <w:rPr>
          <w:color w:val="0070C0"/>
        </w:rPr>
        <w:fldChar w:fldCharType="end"/>
      </w:r>
      <w:bookmarkEnd w:id="12"/>
    </w:p>
    <w:p w14:paraId="38834D3D" w14:textId="2DCD7E78" w:rsidR="0082519A" w:rsidRPr="009E20DA" w:rsidRDefault="0082519A" w:rsidP="0082519A">
      <w:pPr>
        <w:rPr>
          <w:lang w:val="fr-CA"/>
        </w:rPr>
      </w:pPr>
      <w:r w:rsidRPr="009E20DA">
        <w:rPr>
          <w:lang w:val="fr-CA"/>
        </w:rPr>
        <w:t>- Examen effectué par :</w:t>
      </w:r>
      <w:r>
        <w:rPr>
          <w:color w:val="0070C0"/>
        </w:rPr>
        <w:fldChar w:fldCharType="begin">
          <w:ffData>
            <w:name w:val=""/>
            <w:enabled/>
            <w:calcOnExit w:val="0"/>
            <w:textInput>
              <w:default w:val="[Insert Name/Title]"/>
            </w:textInput>
          </w:ffData>
        </w:fldChar>
      </w:r>
      <w:r w:rsidRPr="009E20DA">
        <w:rPr>
          <w:color w:val="0070C0"/>
          <w:lang w:val="fr-CA"/>
        </w:rPr>
        <w:instrText xml:space="preserve"> FORMTEXT </w:instrText>
      </w:r>
      <w:r>
        <w:rPr>
          <w:color w:val="0070C0"/>
        </w:rPr>
      </w:r>
      <w:r>
        <w:rPr>
          <w:color w:val="0070C0"/>
        </w:rPr>
        <w:fldChar w:fldCharType="separate"/>
      </w:r>
      <w:r w:rsidRPr="009E20DA">
        <w:rPr>
          <w:noProof/>
          <w:color w:val="0070C0"/>
          <w:lang w:val="fr-CA"/>
        </w:rPr>
        <w:t xml:space="preserve"> [Insérer le nom/titre]</w:t>
      </w:r>
      <w:r>
        <w:rPr>
          <w:color w:val="0070C0"/>
        </w:rPr>
        <w:fldChar w:fldCharType="end"/>
      </w:r>
    </w:p>
    <w:p w14:paraId="66B9F826" w14:textId="77777777" w:rsidR="0082519A" w:rsidRPr="009E20DA" w:rsidRDefault="0082519A" w:rsidP="0082519A">
      <w:pPr>
        <w:rPr>
          <w:color w:val="0070C0"/>
          <w:lang w:val="fr-CA"/>
        </w:rPr>
      </w:pPr>
    </w:p>
    <w:p w14:paraId="0A0170F8" w14:textId="21157F35" w:rsidR="0082519A" w:rsidRPr="009E20DA" w:rsidRDefault="00503AF3" w:rsidP="0082519A">
      <w:pPr>
        <w:keepNext/>
        <w:keepLines/>
        <w:spacing w:before="480" w:after="200" w:line="276" w:lineRule="auto"/>
        <w:ind w:left="0"/>
        <w:outlineLvl w:val="0"/>
        <w:rPr>
          <w:rFonts w:ascii="Calibri" w:eastAsia="MS Gothic" w:hAnsi="Calibri" w:cs="Times New Roman"/>
          <w:b/>
          <w:bCs/>
          <w:sz w:val="28"/>
          <w:szCs w:val="28"/>
          <w:lang w:val="fr-CA"/>
        </w:rPr>
      </w:pPr>
      <w:r>
        <w:rPr>
          <w:rFonts w:ascii="Calibri" w:eastAsia="MS Gothic" w:hAnsi="Calibri" w:cs="Times New Roman"/>
          <w:b/>
          <w:bCs/>
          <w:sz w:val="28"/>
          <w:szCs w:val="28"/>
          <w:lang w:val="fr-CA"/>
        </w:rPr>
        <w:t>Signatures</w:t>
      </w:r>
    </w:p>
    <w:p w14:paraId="7457840D" w14:textId="77777777" w:rsidR="0082519A" w:rsidRPr="009E20DA" w:rsidRDefault="0082519A" w:rsidP="0082519A">
      <w:pPr>
        <w:spacing w:before="0" w:after="200" w:line="276" w:lineRule="auto"/>
        <w:ind w:left="0"/>
        <w:rPr>
          <w:rFonts w:asciiTheme="minorHAnsi" w:eastAsia="MS Mincho" w:hAnsiTheme="minorHAnsi" w:cstheme="minorHAnsi"/>
          <w:lang w:val="fr-CA"/>
        </w:rPr>
      </w:pPr>
      <w:r w:rsidRPr="009E20DA">
        <w:rPr>
          <w:rFonts w:asciiTheme="minorHAnsi" w:eastAsia="MS Mincho" w:hAnsiTheme="minorHAnsi" w:cstheme="minorHAnsi"/>
          <w:lang w:val="fr-CA"/>
        </w:rPr>
        <w:t>En signant ci-dessous, les soussignés confirment qu'ils ont examiné et approuvé la présente politique de confidentialité des données et de cybersécurité et reconnaissent qu'il leur incombe de veiller au respect de ses dispositions.</w:t>
      </w:r>
    </w:p>
    <w:tbl>
      <w:tblPr>
        <w:tblW w:w="9976" w:type="dxa"/>
        <w:tblLook w:val="04A0" w:firstRow="1" w:lastRow="0" w:firstColumn="1" w:lastColumn="0" w:noHBand="0" w:noVBand="1"/>
      </w:tblPr>
      <w:tblGrid>
        <w:gridCol w:w="2494"/>
        <w:gridCol w:w="1901"/>
        <w:gridCol w:w="3087"/>
        <w:gridCol w:w="2494"/>
      </w:tblGrid>
      <w:tr w:rsidR="0082519A" w:rsidRPr="0082519A" w14:paraId="422E5C41" w14:textId="77777777" w:rsidTr="00821647">
        <w:trPr>
          <w:trHeight w:val="804"/>
        </w:trPr>
        <w:tc>
          <w:tcPr>
            <w:tcW w:w="2494" w:type="dxa"/>
          </w:tcPr>
          <w:p w14:paraId="5C71DC22" w14:textId="77777777"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Nom</w:t>
            </w:r>
          </w:p>
        </w:tc>
        <w:tc>
          <w:tcPr>
            <w:tcW w:w="1901" w:type="dxa"/>
          </w:tcPr>
          <w:p w14:paraId="1716F678" w14:textId="77777777"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Titre</w:t>
            </w:r>
          </w:p>
        </w:tc>
        <w:tc>
          <w:tcPr>
            <w:tcW w:w="3087" w:type="dxa"/>
          </w:tcPr>
          <w:p w14:paraId="66FA2592" w14:textId="77777777"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Signature</w:t>
            </w:r>
          </w:p>
        </w:tc>
        <w:tc>
          <w:tcPr>
            <w:tcW w:w="2494" w:type="dxa"/>
          </w:tcPr>
          <w:p w14:paraId="258032EC" w14:textId="77777777"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Date</w:t>
            </w:r>
          </w:p>
        </w:tc>
      </w:tr>
      <w:tr w:rsidR="0082519A" w:rsidRPr="0082519A" w14:paraId="4281AFBD" w14:textId="77777777" w:rsidTr="00821647">
        <w:trPr>
          <w:trHeight w:val="804"/>
        </w:trPr>
        <w:tc>
          <w:tcPr>
            <w:tcW w:w="2494" w:type="dxa"/>
          </w:tcPr>
          <w:p w14:paraId="0795FF43" w14:textId="1ECDFF2B" w:rsidR="0082519A" w:rsidRPr="0082519A" w:rsidRDefault="0082519A"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Name]"/>
                  </w:textInput>
                </w:ffData>
              </w:fldChar>
            </w:r>
            <w:r>
              <w:rPr>
                <w:color w:val="0070C0"/>
              </w:rPr>
              <w:instrText xml:space="preserve"> FORMTEXT </w:instrText>
            </w:r>
            <w:r>
              <w:rPr>
                <w:color w:val="0070C0"/>
              </w:rPr>
            </w:r>
            <w:r>
              <w:rPr>
                <w:color w:val="0070C0"/>
              </w:rPr>
              <w:fldChar w:fldCharType="separate"/>
            </w:r>
            <w:r>
              <w:rPr>
                <w:noProof/>
                <w:color w:val="0070C0"/>
              </w:rPr>
              <w:t>[Insérer le nom]</w:t>
            </w:r>
            <w:r>
              <w:rPr>
                <w:color w:val="0070C0"/>
              </w:rPr>
              <w:fldChar w:fldCharType="end"/>
            </w:r>
          </w:p>
        </w:tc>
        <w:tc>
          <w:tcPr>
            <w:tcW w:w="1901" w:type="dxa"/>
          </w:tcPr>
          <w:p w14:paraId="206E520F" w14:textId="2F1F8ECC"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Title]"/>
                  </w:textInput>
                </w:ffData>
              </w:fldChar>
            </w:r>
            <w:r>
              <w:rPr>
                <w:color w:val="0070C0"/>
              </w:rPr>
              <w:instrText xml:space="preserve"> FORMTEXT </w:instrText>
            </w:r>
            <w:r>
              <w:rPr>
                <w:color w:val="0070C0"/>
              </w:rPr>
            </w:r>
            <w:r>
              <w:rPr>
                <w:color w:val="0070C0"/>
              </w:rPr>
              <w:fldChar w:fldCharType="separate"/>
            </w:r>
            <w:r>
              <w:rPr>
                <w:noProof/>
                <w:color w:val="0070C0"/>
              </w:rPr>
              <w:t>[Insérer le titre]</w:t>
            </w:r>
            <w:r>
              <w:rPr>
                <w:color w:val="0070C0"/>
              </w:rPr>
              <w:fldChar w:fldCharType="end"/>
            </w:r>
          </w:p>
        </w:tc>
        <w:tc>
          <w:tcPr>
            <w:tcW w:w="3087" w:type="dxa"/>
          </w:tcPr>
          <w:p w14:paraId="434EBD13" w14:textId="64F3C5C5"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______________________________</w:t>
            </w:r>
          </w:p>
        </w:tc>
        <w:tc>
          <w:tcPr>
            <w:tcW w:w="2494" w:type="dxa"/>
          </w:tcPr>
          <w:p w14:paraId="3EB86183" w14:textId="72FF6F6A"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Date]"/>
                  </w:textInput>
                </w:ffData>
              </w:fldChar>
            </w:r>
            <w:r>
              <w:rPr>
                <w:color w:val="0070C0"/>
              </w:rPr>
              <w:instrText xml:space="preserve"> FORMTEXT </w:instrText>
            </w:r>
            <w:r>
              <w:rPr>
                <w:color w:val="0070C0"/>
              </w:rPr>
            </w:r>
            <w:r>
              <w:rPr>
                <w:color w:val="0070C0"/>
              </w:rPr>
              <w:fldChar w:fldCharType="separate"/>
            </w:r>
            <w:r>
              <w:rPr>
                <w:noProof/>
                <w:color w:val="0070C0"/>
              </w:rPr>
              <w:t>[Insérer la date]</w:t>
            </w:r>
            <w:r>
              <w:rPr>
                <w:color w:val="0070C0"/>
              </w:rPr>
              <w:fldChar w:fldCharType="end"/>
            </w:r>
          </w:p>
        </w:tc>
      </w:tr>
      <w:tr w:rsidR="0082519A" w:rsidRPr="0082519A" w14:paraId="2D5229B2" w14:textId="77777777" w:rsidTr="00821647">
        <w:trPr>
          <w:trHeight w:val="804"/>
        </w:trPr>
        <w:tc>
          <w:tcPr>
            <w:tcW w:w="2494" w:type="dxa"/>
          </w:tcPr>
          <w:p w14:paraId="043FB4A3" w14:textId="49863033" w:rsidR="0082519A" w:rsidRPr="0082519A" w:rsidRDefault="0082519A"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Name]"/>
                  </w:textInput>
                </w:ffData>
              </w:fldChar>
            </w:r>
            <w:r>
              <w:rPr>
                <w:color w:val="0070C0"/>
              </w:rPr>
              <w:instrText xml:space="preserve"> FORMTEXT </w:instrText>
            </w:r>
            <w:r>
              <w:rPr>
                <w:color w:val="0070C0"/>
              </w:rPr>
            </w:r>
            <w:r>
              <w:rPr>
                <w:color w:val="0070C0"/>
              </w:rPr>
              <w:fldChar w:fldCharType="separate"/>
            </w:r>
            <w:r>
              <w:rPr>
                <w:noProof/>
                <w:color w:val="0070C0"/>
              </w:rPr>
              <w:t>[Insérer le nom]</w:t>
            </w:r>
            <w:r>
              <w:rPr>
                <w:color w:val="0070C0"/>
              </w:rPr>
              <w:fldChar w:fldCharType="end"/>
            </w:r>
          </w:p>
        </w:tc>
        <w:tc>
          <w:tcPr>
            <w:tcW w:w="1901" w:type="dxa"/>
          </w:tcPr>
          <w:p w14:paraId="1B0195ED" w14:textId="2D43104C"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Title]"/>
                  </w:textInput>
                </w:ffData>
              </w:fldChar>
            </w:r>
            <w:r>
              <w:rPr>
                <w:color w:val="0070C0"/>
              </w:rPr>
              <w:instrText xml:space="preserve"> FORMTEXT </w:instrText>
            </w:r>
            <w:r>
              <w:rPr>
                <w:color w:val="0070C0"/>
              </w:rPr>
            </w:r>
            <w:r>
              <w:rPr>
                <w:color w:val="0070C0"/>
              </w:rPr>
              <w:fldChar w:fldCharType="separate"/>
            </w:r>
            <w:r>
              <w:rPr>
                <w:noProof/>
                <w:color w:val="0070C0"/>
              </w:rPr>
              <w:t>[Insérer le titre]</w:t>
            </w:r>
            <w:r>
              <w:rPr>
                <w:color w:val="0070C0"/>
              </w:rPr>
              <w:fldChar w:fldCharType="end"/>
            </w:r>
          </w:p>
        </w:tc>
        <w:tc>
          <w:tcPr>
            <w:tcW w:w="3087" w:type="dxa"/>
          </w:tcPr>
          <w:p w14:paraId="26E16E3B" w14:textId="412EE231"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______________________________</w:t>
            </w:r>
          </w:p>
        </w:tc>
        <w:tc>
          <w:tcPr>
            <w:tcW w:w="2494" w:type="dxa"/>
          </w:tcPr>
          <w:p w14:paraId="314E8BB3" w14:textId="456EC4CE"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Date]"/>
                  </w:textInput>
                </w:ffData>
              </w:fldChar>
            </w:r>
            <w:r>
              <w:rPr>
                <w:color w:val="0070C0"/>
              </w:rPr>
              <w:instrText xml:space="preserve"> FORMTEXT </w:instrText>
            </w:r>
            <w:r>
              <w:rPr>
                <w:color w:val="0070C0"/>
              </w:rPr>
            </w:r>
            <w:r>
              <w:rPr>
                <w:color w:val="0070C0"/>
              </w:rPr>
              <w:fldChar w:fldCharType="separate"/>
            </w:r>
            <w:r>
              <w:rPr>
                <w:noProof/>
                <w:color w:val="0070C0"/>
              </w:rPr>
              <w:t>[Insérer la date]</w:t>
            </w:r>
            <w:r>
              <w:rPr>
                <w:color w:val="0070C0"/>
              </w:rPr>
              <w:fldChar w:fldCharType="end"/>
            </w:r>
          </w:p>
        </w:tc>
      </w:tr>
      <w:tr w:rsidR="0082519A" w:rsidRPr="0082519A" w14:paraId="25F4053E" w14:textId="77777777" w:rsidTr="00821647">
        <w:trPr>
          <w:trHeight w:val="804"/>
        </w:trPr>
        <w:tc>
          <w:tcPr>
            <w:tcW w:w="2494" w:type="dxa"/>
          </w:tcPr>
          <w:p w14:paraId="44165912" w14:textId="1848BB1B" w:rsidR="0082519A" w:rsidRPr="0082519A" w:rsidRDefault="0082519A"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Name]"/>
                  </w:textInput>
                </w:ffData>
              </w:fldChar>
            </w:r>
            <w:r>
              <w:rPr>
                <w:color w:val="0070C0"/>
              </w:rPr>
              <w:instrText xml:space="preserve"> FORMTEXT </w:instrText>
            </w:r>
            <w:r>
              <w:rPr>
                <w:color w:val="0070C0"/>
              </w:rPr>
            </w:r>
            <w:r>
              <w:rPr>
                <w:color w:val="0070C0"/>
              </w:rPr>
              <w:fldChar w:fldCharType="separate"/>
            </w:r>
            <w:r>
              <w:rPr>
                <w:noProof/>
                <w:color w:val="0070C0"/>
              </w:rPr>
              <w:t>[Insérer le nom]</w:t>
            </w:r>
            <w:r>
              <w:rPr>
                <w:color w:val="0070C0"/>
              </w:rPr>
              <w:fldChar w:fldCharType="end"/>
            </w:r>
          </w:p>
        </w:tc>
        <w:tc>
          <w:tcPr>
            <w:tcW w:w="1901" w:type="dxa"/>
          </w:tcPr>
          <w:p w14:paraId="2863E55A" w14:textId="05A8E687"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Title]"/>
                  </w:textInput>
                </w:ffData>
              </w:fldChar>
            </w:r>
            <w:r>
              <w:rPr>
                <w:color w:val="0070C0"/>
              </w:rPr>
              <w:instrText xml:space="preserve"> FORMTEXT </w:instrText>
            </w:r>
            <w:r>
              <w:rPr>
                <w:color w:val="0070C0"/>
              </w:rPr>
            </w:r>
            <w:r>
              <w:rPr>
                <w:color w:val="0070C0"/>
              </w:rPr>
              <w:fldChar w:fldCharType="separate"/>
            </w:r>
            <w:r>
              <w:rPr>
                <w:noProof/>
                <w:color w:val="0070C0"/>
              </w:rPr>
              <w:t>[Insérer le titre]</w:t>
            </w:r>
            <w:r>
              <w:rPr>
                <w:color w:val="0070C0"/>
              </w:rPr>
              <w:fldChar w:fldCharType="end"/>
            </w:r>
          </w:p>
        </w:tc>
        <w:tc>
          <w:tcPr>
            <w:tcW w:w="3087" w:type="dxa"/>
          </w:tcPr>
          <w:p w14:paraId="1B62710F" w14:textId="12AB3334"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______________________________</w:t>
            </w:r>
          </w:p>
        </w:tc>
        <w:tc>
          <w:tcPr>
            <w:tcW w:w="2494" w:type="dxa"/>
          </w:tcPr>
          <w:p w14:paraId="2A980B3E" w14:textId="7E6BF5DC"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Date]"/>
                  </w:textInput>
                </w:ffData>
              </w:fldChar>
            </w:r>
            <w:r>
              <w:rPr>
                <w:color w:val="0070C0"/>
              </w:rPr>
              <w:instrText xml:space="preserve"> FORMTEXT </w:instrText>
            </w:r>
            <w:r>
              <w:rPr>
                <w:color w:val="0070C0"/>
              </w:rPr>
            </w:r>
            <w:r>
              <w:rPr>
                <w:color w:val="0070C0"/>
              </w:rPr>
              <w:fldChar w:fldCharType="separate"/>
            </w:r>
            <w:r>
              <w:rPr>
                <w:noProof/>
                <w:color w:val="0070C0"/>
              </w:rPr>
              <w:t>[Insérer la date]</w:t>
            </w:r>
            <w:r>
              <w:rPr>
                <w:color w:val="0070C0"/>
              </w:rPr>
              <w:fldChar w:fldCharType="end"/>
            </w:r>
          </w:p>
        </w:tc>
      </w:tr>
    </w:tbl>
    <w:p w14:paraId="2F20FCC0" w14:textId="77777777" w:rsidR="0082519A" w:rsidRDefault="0082519A" w:rsidP="0082519A">
      <w:pPr>
        <w:rPr>
          <w:color w:val="0070C0"/>
        </w:rPr>
      </w:pPr>
    </w:p>
    <w:p w14:paraId="02449A45" w14:textId="77777777" w:rsidR="0082519A" w:rsidRDefault="0082519A" w:rsidP="0082519A">
      <w:pPr>
        <w:rPr>
          <w:color w:val="0070C0"/>
        </w:rPr>
      </w:pPr>
    </w:p>
    <w:p w14:paraId="308B5DAE" w14:textId="77777777" w:rsidR="0082519A" w:rsidRDefault="0082519A" w:rsidP="0082519A">
      <w:pPr>
        <w:rPr>
          <w:color w:val="0070C0"/>
        </w:rPr>
      </w:pPr>
    </w:p>
    <w:p w14:paraId="04B6D10F" w14:textId="77777777" w:rsidR="0082519A" w:rsidRDefault="0082519A" w:rsidP="00F83DFF">
      <w:pPr>
        <w:ind w:left="0"/>
        <w:rPr>
          <w:color w:val="0070C0"/>
        </w:rPr>
      </w:pPr>
    </w:p>
    <w:sectPr w:rsidR="0082519A" w:rsidSect="0085328C">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03954" w14:textId="77777777" w:rsidR="006F0D11" w:rsidRDefault="006F0D11" w:rsidP="00DC56C0">
      <w:pPr>
        <w:spacing w:before="0"/>
      </w:pPr>
      <w:r>
        <w:separator/>
      </w:r>
    </w:p>
    <w:p w14:paraId="49A44606" w14:textId="77777777" w:rsidR="006F0D11" w:rsidRDefault="006F0D11"/>
    <w:p w14:paraId="3E1F2D58" w14:textId="77777777" w:rsidR="006F0D11" w:rsidRDefault="006F0D11" w:rsidP="00EA5200"/>
  </w:endnote>
  <w:endnote w:type="continuationSeparator" w:id="0">
    <w:p w14:paraId="2F8AA6C9" w14:textId="77777777" w:rsidR="006F0D11" w:rsidRDefault="006F0D11" w:rsidP="00DC56C0">
      <w:pPr>
        <w:spacing w:before="0"/>
      </w:pPr>
      <w:r>
        <w:continuationSeparator/>
      </w:r>
    </w:p>
    <w:p w14:paraId="752D37DF" w14:textId="77777777" w:rsidR="006F0D11" w:rsidRDefault="006F0D11"/>
    <w:p w14:paraId="62C55175" w14:textId="77777777" w:rsidR="006F0D11" w:rsidRDefault="006F0D11" w:rsidP="00EA5200"/>
  </w:endnote>
  <w:endnote w:type="continuationNotice" w:id="1">
    <w:p w14:paraId="2320D559" w14:textId="77777777" w:rsidR="006F0D11" w:rsidRDefault="006F0D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73529"/>
      <w:docPartObj>
        <w:docPartGallery w:val="Page Numbers (Bottom of Page)"/>
        <w:docPartUnique/>
      </w:docPartObj>
    </w:sdtPr>
    <w:sdtEndPr>
      <w:rPr>
        <w:noProof/>
      </w:rPr>
    </w:sdtEndPr>
    <w:sdtContent>
      <w:p w14:paraId="7638B783" w14:textId="5972D2F8" w:rsidR="001B3E0E" w:rsidRDefault="001B3E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A3E77" w14:textId="4F090B06" w:rsidR="008013E2" w:rsidRPr="008013E2" w:rsidRDefault="008013E2" w:rsidP="005C55EF">
    <w:pPr>
      <w:pStyle w:val="Footer"/>
      <w:ind w:left="0"/>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BBF6F" w14:textId="77777777" w:rsidR="006F0D11" w:rsidRDefault="006F0D11" w:rsidP="00DC56C0">
      <w:pPr>
        <w:spacing w:before="0"/>
      </w:pPr>
      <w:r>
        <w:separator/>
      </w:r>
    </w:p>
    <w:p w14:paraId="1A3C0348" w14:textId="77777777" w:rsidR="006F0D11" w:rsidRDefault="006F0D11"/>
    <w:p w14:paraId="0B56A199" w14:textId="77777777" w:rsidR="006F0D11" w:rsidRDefault="006F0D11" w:rsidP="00EA5200"/>
  </w:footnote>
  <w:footnote w:type="continuationSeparator" w:id="0">
    <w:p w14:paraId="3CFE6928" w14:textId="77777777" w:rsidR="006F0D11" w:rsidRDefault="006F0D11" w:rsidP="00DC56C0">
      <w:pPr>
        <w:spacing w:before="0"/>
      </w:pPr>
      <w:r>
        <w:continuationSeparator/>
      </w:r>
    </w:p>
    <w:p w14:paraId="0714E5D9" w14:textId="77777777" w:rsidR="006F0D11" w:rsidRDefault="006F0D11"/>
    <w:p w14:paraId="47C25FCB" w14:textId="77777777" w:rsidR="006F0D11" w:rsidRDefault="006F0D11" w:rsidP="00EA5200"/>
  </w:footnote>
  <w:footnote w:type="continuationNotice" w:id="1">
    <w:p w14:paraId="1D3B06CA" w14:textId="77777777" w:rsidR="006F0D11" w:rsidRDefault="006F0D1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2BB"/>
    <w:multiLevelType w:val="hybridMultilevel"/>
    <w:tmpl w:val="7034D3B2"/>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0722C"/>
    <w:multiLevelType w:val="hybridMultilevel"/>
    <w:tmpl w:val="01AEABBE"/>
    <w:lvl w:ilvl="0" w:tplc="14A66F5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8336E"/>
    <w:multiLevelType w:val="hybridMultilevel"/>
    <w:tmpl w:val="632284F6"/>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B2F4B4B"/>
    <w:multiLevelType w:val="hybridMultilevel"/>
    <w:tmpl w:val="94AAE646"/>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1242C6"/>
    <w:multiLevelType w:val="hybridMultilevel"/>
    <w:tmpl w:val="DDA0DDA4"/>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1F5A76"/>
    <w:multiLevelType w:val="hybridMultilevel"/>
    <w:tmpl w:val="68D4F1CA"/>
    <w:lvl w:ilvl="0" w:tplc="F8D6BE2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B3F0682"/>
    <w:multiLevelType w:val="multilevel"/>
    <w:tmpl w:val="2CB47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F6E27"/>
    <w:multiLevelType w:val="hybridMultilevel"/>
    <w:tmpl w:val="5A8AECCC"/>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2A0B2466"/>
    <w:multiLevelType w:val="hybridMultilevel"/>
    <w:tmpl w:val="1668D9A6"/>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0"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0BE286A"/>
    <w:multiLevelType w:val="hybridMultilevel"/>
    <w:tmpl w:val="58D2C5D0"/>
    <w:lvl w:ilvl="0" w:tplc="4B20984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6804D6"/>
    <w:multiLevelType w:val="hybridMultilevel"/>
    <w:tmpl w:val="56FC5734"/>
    <w:lvl w:ilvl="0" w:tplc="FEFA8C0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253AD9"/>
    <w:multiLevelType w:val="hybridMultilevel"/>
    <w:tmpl w:val="A57631FA"/>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4" w15:restartNumberingAfterBreak="0">
    <w:nsid w:val="39F11420"/>
    <w:multiLevelType w:val="hybridMultilevel"/>
    <w:tmpl w:val="40160402"/>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EC28B2"/>
    <w:multiLevelType w:val="hybridMultilevel"/>
    <w:tmpl w:val="F288D9B4"/>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6" w15:restartNumberingAfterBreak="0">
    <w:nsid w:val="51032B7A"/>
    <w:multiLevelType w:val="hybridMultilevel"/>
    <w:tmpl w:val="5538CEC8"/>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7" w15:restartNumberingAfterBreak="0">
    <w:nsid w:val="5132222B"/>
    <w:multiLevelType w:val="hybridMultilevel"/>
    <w:tmpl w:val="0E6E0F1E"/>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1C7501"/>
    <w:multiLevelType w:val="hybridMultilevel"/>
    <w:tmpl w:val="F5A0C774"/>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475CB2"/>
    <w:multiLevelType w:val="hybridMultilevel"/>
    <w:tmpl w:val="B0400FA0"/>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0" w15:restartNumberingAfterBreak="0">
    <w:nsid w:val="5F6C0BB3"/>
    <w:multiLevelType w:val="hybridMultilevel"/>
    <w:tmpl w:val="26A02988"/>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DE1B93"/>
    <w:multiLevelType w:val="hybridMultilevel"/>
    <w:tmpl w:val="1AA0AD60"/>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CB10A1"/>
    <w:multiLevelType w:val="hybridMultilevel"/>
    <w:tmpl w:val="2752B9C2"/>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274DEE"/>
    <w:multiLevelType w:val="hybridMultilevel"/>
    <w:tmpl w:val="B4B068E8"/>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1966764">
    <w:abstractNumId w:val="3"/>
  </w:num>
  <w:num w:numId="2" w16cid:durableId="724521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078304">
    <w:abstractNumId w:val="7"/>
  </w:num>
  <w:num w:numId="4" w16cid:durableId="1029070578">
    <w:abstractNumId w:val="11"/>
  </w:num>
  <w:num w:numId="5" w16cid:durableId="329019803">
    <w:abstractNumId w:val="1"/>
  </w:num>
  <w:num w:numId="6" w16cid:durableId="428237836">
    <w:abstractNumId w:val="12"/>
  </w:num>
  <w:num w:numId="7" w16cid:durableId="331375948">
    <w:abstractNumId w:val="14"/>
  </w:num>
  <w:num w:numId="8" w16cid:durableId="1410737877">
    <w:abstractNumId w:val="6"/>
  </w:num>
  <w:num w:numId="9" w16cid:durableId="1077244761">
    <w:abstractNumId w:val="19"/>
  </w:num>
  <w:num w:numId="10" w16cid:durableId="444157490">
    <w:abstractNumId w:val="9"/>
  </w:num>
  <w:num w:numId="11" w16cid:durableId="361708909">
    <w:abstractNumId w:val="13"/>
  </w:num>
  <w:num w:numId="12" w16cid:durableId="1113790230">
    <w:abstractNumId w:val="16"/>
  </w:num>
  <w:num w:numId="13" w16cid:durableId="1470512939">
    <w:abstractNumId w:val="8"/>
  </w:num>
  <w:num w:numId="14" w16cid:durableId="57213372">
    <w:abstractNumId w:val="15"/>
  </w:num>
  <w:num w:numId="15" w16cid:durableId="2123649823">
    <w:abstractNumId w:val="4"/>
  </w:num>
  <w:num w:numId="16" w16cid:durableId="1334840962">
    <w:abstractNumId w:val="17"/>
  </w:num>
  <w:num w:numId="17" w16cid:durableId="1756588181">
    <w:abstractNumId w:val="22"/>
  </w:num>
  <w:num w:numId="18" w16cid:durableId="1607615849">
    <w:abstractNumId w:val="0"/>
  </w:num>
  <w:num w:numId="19" w16cid:durableId="1826629943">
    <w:abstractNumId w:val="20"/>
  </w:num>
  <w:num w:numId="20" w16cid:durableId="355425873">
    <w:abstractNumId w:val="2"/>
  </w:num>
  <w:num w:numId="21" w16cid:durableId="1569071781">
    <w:abstractNumId w:val="18"/>
  </w:num>
  <w:num w:numId="22" w16cid:durableId="980576615">
    <w:abstractNumId w:val="23"/>
  </w:num>
  <w:num w:numId="23" w16cid:durableId="1139879467">
    <w:abstractNumId w:val="21"/>
  </w:num>
  <w:num w:numId="24" w16cid:durableId="18790903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3MDIwNTSyMDE0sTBU0lEKTi0uzszPAykwrAUA+JURriwAAAA="/>
  </w:docVars>
  <w:rsids>
    <w:rsidRoot w:val="00DC56C0"/>
    <w:rsid w:val="00001F4B"/>
    <w:rsid w:val="0000762A"/>
    <w:rsid w:val="00012C8B"/>
    <w:rsid w:val="0001522E"/>
    <w:rsid w:val="00015240"/>
    <w:rsid w:val="00016BAF"/>
    <w:rsid w:val="000228D7"/>
    <w:rsid w:val="00022C2C"/>
    <w:rsid w:val="00030B57"/>
    <w:rsid w:val="00031CEE"/>
    <w:rsid w:val="0003543D"/>
    <w:rsid w:val="00041411"/>
    <w:rsid w:val="00047383"/>
    <w:rsid w:val="0005074B"/>
    <w:rsid w:val="000529A8"/>
    <w:rsid w:val="00054054"/>
    <w:rsid w:val="00054E82"/>
    <w:rsid w:val="00057A40"/>
    <w:rsid w:val="0006132B"/>
    <w:rsid w:val="00067963"/>
    <w:rsid w:val="000718C8"/>
    <w:rsid w:val="00074BB2"/>
    <w:rsid w:val="00091910"/>
    <w:rsid w:val="00096888"/>
    <w:rsid w:val="000A0107"/>
    <w:rsid w:val="000A24AE"/>
    <w:rsid w:val="000A2BE1"/>
    <w:rsid w:val="000A3D74"/>
    <w:rsid w:val="000B32C8"/>
    <w:rsid w:val="000C1992"/>
    <w:rsid w:val="000C2C3C"/>
    <w:rsid w:val="000C6F17"/>
    <w:rsid w:val="000C799D"/>
    <w:rsid w:val="000D1631"/>
    <w:rsid w:val="000D1CEB"/>
    <w:rsid w:val="000D2B4F"/>
    <w:rsid w:val="000D5716"/>
    <w:rsid w:val="000E2E4A"/>
    <w:rsid w:val="000F10E3"/>
    <w:rsid w:val="000F41F1"/>
    <w:rsid w:val="000F60D6"/>
    <w:rsid w:val="000F72BB"/>
    <w:rsid w:val="000F7D6B"/>
    <w:rsid w:val="0010234F"/>
    <w:rsid w:val="001027EE"/>
    <w:rsid w:val="0010680A"/>
    <w:rsid w:val="00106F78"/>
    <w:rsid w:val="00112964"/>
    <w:rsid w:val="00114CF7"/>
    <w:rsid w:val="00116F3F"/>
    <w:rsid w:val="00117AF7"/>
    <w:rsid w:val="001214ED"/>
    <w:rsid w:val="0012584C"/>
    <w:rsid w:val="00126C99"/>
    <w:rsid w:val="00133871"/>
    <w:rsid w:val="00134E07"/>
    <w:rsid w:val="00134F28"/>
    <w:rsid w:val="0014164C"/>
    <w:rsid w:val="00162DD4"/>
    <w:rsid w:val="0016464B"/>
    <w:rsid w:val="001656EA"/>
    <w:rsid w:val="001670D9"/>
    <w:rsid w:val="0017294D"/>
    <w:rsid w:val="00173CCA"/>
    <w:rsid w:val="00176148"/>
    <w:rsid w:val="001916CD"/>
    <w:rsid w:val="001930C1"/>
    <w:rsid w:val="0019740F"/>
    <w:rsid w:val="00197997"/>
    <w:rsid w:val="001A3DB9"/>
    <w:rsid w:val="001A44EE"/>
    <w:rsid w:val="001A57D4"/>
    <w:rsid w:val="001A6167"/>
    <w:rsid w:val="001B3744"/>
    <w:rsid w:val="001B3E0E"/>
    <w:rsid w:val="001B43D6"/>
    <w:rsid w:val="001C037F"/>
    <w:rsid w:val="001C53DC"/>
    <w:rsid w:val="001D1CF1"/>
    <w:rsid w:val="001D2F9C"/>
    <w:rsid w:val="001D3366"/>
    <w:rsid w:val="001D5432"/>
    <w:rsid w:val="001E5205"/>
    <w:rsid w:val="001F08AC"/>
    <w:rsid w:val="001F7652"/>
    <w:rsid w:val="0020012F"/>
    <w:rsid w:val="00202733"/>
    <w:rsid w:val="00202D3A"/>
    <w:rsid w:val="002037C1"/>
    <w:rsid w:val="00203C73"/>
    <w:rsid w:val="002070A8"/>
    <w:rsid w:val="0021265E"/>
    <w:rsid w:val="00214E87"/>
    <w:rsid w:val="002248C5"/>
    <w:rsid w:val="00237FB0"/>
    <w:rsid w:val="002402A7"/>
    <w:rsid w:val="00240947"/>
    <w:rsid w:val="00240FFA"/>
    <w:rsid w:val="00243D5C"/>
    <w:rsid w:val="00246440"/>
    <w:rsid w:val="00255F8E"/>
    <w:rsid w:val="00260908"/>
    <w:rsid w:val="0026589B"/>
    <w:rsid w:val="00266906"/>
    <w:rsid w:val="00270D8C"/>
    <w:rsid w:val="002720F2"/>
    <w:rsid w:val="0027601C"/>
    <w:rsid w:val="0028158E"/>
    <w:rsid w:val="00287B9D"/>
    <w:rsid w:val="00292318"/>
    <w:rsid w:val="002A0991"/>
    <w:rsid w:val="002A0C3F"/>
    <w:rsid w:val="002A5F78"/>
    <w:rsid w:val="002A74FD"/>
    <w:rsid w:val="002B066B"/>
    <w:rsid w:val="002B4DB3"/>
    <w:rsid w:val="002C6F90"/>
    <w:rsid w:val="002C7ED0"/>
    <w:rsid w:val="002D12ED"/>
    <w:rsid w:val="002D3CD0"/>
    <w:rsid w:val="002D4DC3"/>
    <w:rsid w:val="002D6D32"/>
    <w:rsid w:val="002E078B"/>
    <w:rsid w:val="002E0E1E"/>
    <w:rsid w:val="002E2F01"/>
    <w:rsid w:val="002E33D3"/>
    <w:rsid w:val="002E53F6"/>
    <w:rsid w:val="002F076A"/>
    <w:rsid w:val="002F0D5A"/>
    <w:rsid w:val="002F590F"/>
    <w:rsid w:val="003219E9"/>
    <w:rsid w:val="00323FE8"/>
    <w:rsid w:val="00325431"/>
    <w:rsid w:val="0034251A"/>
    <w:rsid w:val="00345983"/>
    <w:rsid w:val="003472EE"/>
    <w:rsid w:val="003551E7"/>
    <w:rsid w:val="00356BA6"/>
    <w:rsid w:val="0036067B"/>
    <w:rsid w:val="00360F4B"/>
    <w:rsid w:val="00373376"/>
    <w:rsid w:val="0037634A"/>
    <w:rsid w:val="00377CCE"/>
    <w:rsid w:val="00377D0B"/>
    <w:rsid w:val="00382A20"/>
    <w:rsid w:val="00384E8D"/>
    <w:rsid w:val="00387663"/>
    <w:rsid w:val="00390025"/>
    <w:rsid w:val="0039487E"/>
    <w:rsid w:val="003A6C22"/>
    <w:rsid w:val="003A7FA6"/>
    <w:rsid w:val="003B09FC"/>
    <w:rsid w:val="003B267D"/>
    <w:rsid w:val="003B280C"/>
    <w:rsid w:val="003B4A46"/>
    <w:rsid w:val="003B602E"/>
    <w:rsid w:val="003C5AEF"/>
    <w:rsid w:val="003C5EC0"/>
    <w:rsid w:val="003D376A"/>
    <w:rsid w:val="003E0BD4"/>
    <w:rsid w:val="003E10EE"/>
    <w:rsid w:val="00403E7F"/>
    <w:rsid w:val="00411D39"/>
    <w:rsid w:val="0041268D"/>
    <w:rsid w:val="0041680D"/>
    <w:rsid w:val="00423D30"/>
    <w:rsid w:val="00424D01"/>
    <w:rsid w:val="00427A3B"/>
    <w:rsid w:val="00427D7F"/>
    <w:rsid w:val="00435C57"/>
    <w:rsid w:val="00441BB3"/>
    <w:rsid w:val="00450110"/>
    <w:rsid w:val="00450CE4"/>
    <w:rsid w:val="004516E3"/>
    <w:rsid w:val="0045593D"/>
    <w:rsid w:val="00455B0E"/>
    <w:rsid w:val="0045653B"/>
    <w:rsid w:val="004628CD"/>
    <w:rsid w:val="00463500"/>
    <w:rsid w:val="0046569A"/>
    <w:rsid w:val="004668A8"/>
    <w:rsid w:val="00467B8C"/>
    <w:rsid w:val="00471BA1"/>
    <w:rsid w:val="00474007"/>
    <w:rsid w:val="00480CB9"/>
    <w:rsid w:val="00482DD1"/>
    <w:rsid w:val="004840D0"/>
    <w:rsid w:val="00484DCD"/>
    <w:rsid w:val="0049346C"/>
    <w:rsid w:val="004A6C93"/>
    <w:rsid w:val="004B087F"/>
    <w:rsid w:val="004B0F5E"/>
    <w:rsid w:val="004B2BAC"/>
    <w:rsid w:val="004B4905"/>
    <w:rsid w:val="004B5A05"/>
    <w:rsid w:val="004C22E7"/>
    <w:rsid w:val="004C555B"/>
    <w:rsid w:val="004C604F"/>
    <w:rsid w:val="004D04CD"/>
    <w:rsid w:val="004D04E7"/>
    <w:rsid w:val="004D13A6"/>
    <w:rsid w:val="004D34DB"/>
    <w:rsid w:val="004D5852"/>
    <w:rsid w:val="004D6653"/>
    <w:rsid w:val="004E0972"/>
    <w:rsid w:val="004E573E"/>
    <w:rsid w:val="00503AF3"/>
    <w:rsid w:val="005050EE"/>
    <w:rsid w:val="00507792"/>
    <w:rsid w:val="00512795"/>
    <w:rsid w:val="005140BA"/>
    <w:rsid w:val="00515327"/>
    <w:rsid w:val="00535FB8"/>
    <w:rsid w:val="00541A52"/>
    <w:rsid w:val="00551F86"/>
    <w:rsid w:val="00552441"/>
    <w:rsid w:val="005529E5"/>
    <w:rsid w:val="005537EC"/>
    <w:rsid w:val="00555864"/>
    <w:rsid w:val="00555E03"/>
    <w:rsid w:val="00560BE1"/>
    <w:rsid w:val="00560E34"/>
    <w:rsid w:val="0058166D"/>
    <w:rsid w:val="00591928"/>
    <w:rsid w:val="005A555F"/>
    <w:rsid w:val="005A59EE"/>
    <w:rsid w:val="005A65AF"/>
    <w:rsid w:val="005B3EEE"/>
    <w:rsid w:val="005B6610"/>
    <w:rsid w:val="005C0E71"/>
    <w:rsid w:val="005C47EE"/>
    <w:rsid w:val="005D22C4"/>
    <w:rsid w:val="005D24BA"/>
    <w:rsid w:val="005D29D3"/>
    <w:rsid w:val="005E0099"/>
    <w:rsid w:val="005E1D71"/>
    <w:rsid w:val="005F2889"/>
    <w:rsid w:val="005F3EC2"/>
    <w:rsid w:val="005F6215"/>
    <w:rsid w:val="00603F65"/>
    <w:rsid w:val="00606DB9"/>
    <w:rsid w:val="00612252"/>
    <w:rsid w:val="00620262"/>
    <w:rsid w:val="00623044"/>
    <w:rsid w:val="006276FB"/>
    <w:rsid w:val="006303A0"/>
    <w:rsid w:val="00630EDA"/>
    <w:rsid w:val="006348C0"/>
    <w:rsid w:val="00642B25"/>
    <w:rsid w:val="00660C90"/>
    <w:rsid w:val="00670575"/>
    <w:rsid w:val="00684CD6"/>
    <w:rsid w:val="0069057D"/>
    <w:rsid w:val="00690F98"/>
    <w:rsid w:val="0069258F"/>
    <w:rsid w:val="006A3803"/>
    <w:rsid w:val="006A564E"/>
    <w:rsid w:val="006A5E87"/>
    <w:rsid w:val="006A7335"/>
    <w:rsid w:val="006B43D2"/>
    <w:rsid w:val="006C05EF"/>
    <w:rsid w:val="006C2FCA"/>
    <w:rsid w:val="006C3C5A"/>
    <w:rsid w:val="006D19DA"/>
    <w:rsid w:val="006D2A60"/>
    <w:rsid w:val="006D2C7D"/>
    <w:rsid w:val="006D49CE"/>
    <w:rsid w:val="006E34B0"/>
    <w:rsid w:val="006E4C53"/>
    <w:rsid w:val="006F0D11"/>
    <w:rsid w:val="006F40B8"/>
    <w:rsid w:val="006F51CB"/>
    <w:rsid w:val="006F6434"/>
    <w:rsid w:val="006F6CD6"/>
    <w:rsid w:val="0070239D"/>
    <w:rsid w:val="00704288"/>
    <w:rsid w:val="00704981"/>
    <w:rsid w:val="007051DA"/>
    <w:rsid w:val="007054E7"/>
    <w:rsid w:val="0070748C"/>
    <w:rsid w:val="00711C33"/>
    <w:rsid w:val="00715282"/>
    <w:rsid w:val="00717DC2"/>
    <w:rsid w:val="007207A7"/>
    <w:rsid w:val="00723FF4"/>
    <w:rsid w:val="00726F6A"/>
    <w:rsid w:val="00730569"/>
    <w:rsid w:val="00732800"/>
    <w:rsid w:val="007351BD"/>
    <w:rsid w:val="00741742"/>
    <w:rsid w:val="00742812"/>
    <w:rsid w:val="00742B63"/>
    <w:rsid w:val="00745FD0"/>
    <w:rsid w:val="00747D33"/>
    <w:rsid w:val="00751865"/>
    <w:rsid w:val="00752022"/>
    <w:rsid w:val="007664AB"/>
    <w:rsid w:val="00770982"/>
    <w:rsid w:val="00776A1F"/>
    <w:rsid w:val="00793DCF"/>
    <w:rsid w:val="007A0288"/>
    <w:rsid w:val="007A33CC"/>
    <w:rsid w:val="007A40A2"/>
    <w:rsid w:val="007A4478"/>
    <w:rsid w:val="007B0D4E"/>
    <w:rsid w:val="007B1442"/>
    <w:rsid w:val="007B2554"/>
    <w:rsid w:val="007D46C6"/>
    <w:rsid w:val="007D6681"/>
    <w:rsid w:val="007E396F"/>
    <w:rsid w:val="007F19F5"/>
    <w:rsid w:val="0080001E"/>
    <w:rsid w:val="00800651"/>
    <w:rsid w:val="008013E2"/>
    <w:rsid w:val="00803712"/>
    <w:rsid w:val="00804E5D"/>
    <w:rsid w:val="00805475"/>
    <w:rsid w:val="00807F39"/>
    <w:rsid w:val="008133D6"/>
    <w:rsid w:val="00815BAE"/>
    <w:rsid w:val="00815F5A"/>
    <w:rsid w:val="00821355"/>
    <w:rsid w:val="00821647"/>
    <w:rsid w:val="00823762"/>
    <w:rsid w:val="0082519A"/>
    <w:rsid w:val="00834812"/>
    <w:rsid w:val="00834FE4"/>
    <w:rsid w:val="0084205C"/>
    <w:rsid w:val="008444D3"/>
    <w:rsid w:val="0085328C"/>
    <w:rsid w:val="008574AD"/>
    <w:rsid w:val="0087374D"/>
    <w:rsid w:val="00874F3E"/>
    <w:rsid w:val="00890374"/>
    <w:rsid w:val="00892BA0"/>
    <w:rsid w:val="008A42F0"/>
    <w:rsid w:val="008A6B60"/>
    <w:rsid w:val="008A73B2"/>
    <w:rsid w:val="008B37C9"/>
    <w:rsid w:val="008B66B1"/>
    <w:rsid w:val="008C6CE6"/>
    <w:rsid w:val="008C7F40"/>
    <w:rsid w:val="008D1C3C"/>
    <w:rsid w:val="008D5181"/>
    <w:rsid w:val="008E3528"/>
    <w:rsid w:val="008E39EC"/>
    <w:rsid w:val="008E4541"/>
    <w:rsid w:val="008F1F1E"/>
    <w:rsid w:val="00901025"/>
    <w:rsid w:val="00903AC2"/>
    <w:rsid w:val="00906C2B"/>
    <w:rsid w:val="00911CCF"/>
    <w:rsid w:val="00911FD4"/>
    <w:rsid w:val="00923D5A"/>
    <w:rsid w:val="00926BFF"/>
    <w:rsid w:val="00947108"/>
    <w:rsid w:val="0095138D"/>
    <w:rsid w:val="00952E36"/>
    <w:rsid w:val="00953BAC"/>
    <w:rsid w:val="009579AF"/>
    <w:rsid w:val="009615F1"/>
    <w:rsid w:val="00963480"/>
    <w:rsid w:val="00967B3E"/>
    <w:rsid w:val="009709B1"/>
    <w:rsid w:val="00971A08"/>
    <w:rsid w:val="009745DB"/>
    <w:rsid w:val="00982C19"/>
    <w:rsid w:val="00986AA4"/>
    <w:rsid w:val="00987BD6"/>
    <w:rsid w:val="00995A62"/>
    <w:rsid w:val="00995AFC"/>
    <w:rsid w:val="009A6274"/>
    <w:rsid w:val="009A7AF8"/>
    <w:rsid w:val="009B34E6"/>
    <w:rsid w:val="009D3DAA"/>
    <w:rsid w:val="009D6D46"/>
    <w:rsid w:val="009E20DA"/>
    <w:rsid w:val="009E2599"/>
    <w:rsid w:val="009E37F8"/>
    <w:rsid w:val="009F209D"/>
    <w:rsid w:val="009F4A56"/>
    <w:rsid w:val="009F4CC6"/>
    <w:rsid w:val="00A03114"/>
    <w:rsid w:val="00A20A69"/>
    <w:rsid w:val="00A23687"/>
    <w:rsid w:val="00A24F40"/>
    <w:rsid w:val="00A32591"/>
    <w:rsid w:val="00A32B83"/>
    <w:rsid w:val="00A334BE"/>
    <w:rsid w:val="00A35C0E"/>
    <w:rsid w:val="00A35FB6"/>
    <w:rsid w:val="00A43267"/>
    <w:rsid w:val="00A4639B"/>
    <w:rsid w:val="00A467DA"/>
    <w:rsid w:val="00A541F1"/>
    <w:rsid w:val="00A63785"/>
    <w:rsid w:val="00A6648E"/>
    <w:rsid w:val="00A67809"/>
    <w:rsid w:val="00A80418"/>
    <w:rsid w:val="00A868D4"/>
    <w:rsid w:val="00A871FA"/>
    <w:rsid w:val="00A92CA5"/>
    <w:rsid w:val="00A97C4F"/>
    <w:rsid w:val="00AA3222"/>
    <w:rsid w:val="00AA60DE"/>
    <w:rsid w:val="00AB220A"/>
    <w:rsid w:val="00AB317E"/>
    <w:rsid w:val="00AB6ECA"/>
    <w:rsid w:val="00AB73BB"/>
    <w:rsid w:val="00AC0936"/>
    <w:rsid w:val="00AC36E3"/>
    <w:rsid w:val="00AD1291"/>
    <w:rsid w:val="00AF3F5E"/>
    <w:rsid w:val="00AF5582"/>
    <w:rsid w:val="00B143D2"/>
    <w:rsid w:val="00B1571E"/>
    <w:rsid w:val="00B16EDB"/>
    <w:rsid w:val="00B2051A"/>
    <w:rsid w:val="00B210CB"/>
    <w:rsid w:val="00B235F5"/>
    <w:rsid w:val="00B25E95"/>
    <w:rsid w:val="00B3042C"/>
    <w:rsid w:val="00B32FB7"/>
    <w:rsid w:val="00B41920"/>
    <w:rsid w:val="00B46758"/>
    <w:rsid w:val="00B5169B"/>
    <w:rsid w:val="00B534D9"/>
    <w:rsid w:val="00B53649"/>
    <w:rsid w:val="00B633CC"/>
    <w:rsid w:val="00B722CE"/>
    <w:rsid w:val="00B72B4B"/>
    <w:rsid w:val="00B73A8B"/>
    <w:rsid w:val="00B77F0C"/>
    <w:rsid w:val="00B81B8B"/>
    <w:rsid w:val="00B92375"/>
    <w:rsid w:val="00B92510"/>
    <w:rsid w:val="00B941A5"/>
    <w:rsid w:val="00B95D67"/>
    <w:rsid w:val="00B97D1D"/>
    <w:rsid w:val="00BA1144"/>
    <w:rsid w:val="00BA1EC6"/>
    <w:rsid w:val="00BB3208"/>
    <w:rsid w:val="00BC123F"/>
    <w:rsid w:val="00BC17D5"/>
    <w:rsid w:val="00BC2FE9"/>
    <w:rsid w:val="00BC40DA"/>
    <w:rsid w:val="00BC70E9"/>
    <w:rsid w:val="00BD4373"/>
    <w:rsid w:val="00BD4610"/>
    <w:rsid w:val="00BD47F1"/>
    <w:rsid w:val="00BE21C6"/>
    <w:rsid w:val="00BE2EE6"/>
    <w:rsid w:val="00BF036F"/>
    <w:rsid w:val="00BF2D43"/>
    <w:rsid w:val="00BF67F1"/>
    <w:rsid w:val="00C00495"/>
    <w:rsid w:val="00C36030"/>
    <w:rsid w:val="00C43EF4"/>
    <w:rsid w:val="00C45217"/>
    <w:rsid w:val="00C45E3D"/>
    <w:rsid w:val="00C46A63"/>
    <w:rsid w:val="00C50F67"/>
    <w:rsid w:val="00C51BC1"/>
    <w:rsid w:val="00C561AF"/>
    <w:rsid w:val="00C71F38"/>
    <w:rsid w:val="00C73F0F"/>
    <w:rsid w:val="00C75B02"/>
    <w:rsid w:val="00C75B21"/>
    <w:rsid w:val="00C80BD5"/>
    <w:rsid w:val="00C82C38"/>
    <w:rsid w:val="00C87773"/>
    <w:rsid w:val="00C926B3"/>
    <w:rsid w:val="00CA20EE"/>
    <w:rsid w:val="00CA33C4"/>
    <w:rsid w:val="00CA754D"/>
    <w:rsid w:val="00CA7BB3"/>
    <w:rsid w:val="00CB5A90"/>
    <w:rsid w:val="00CB75A7"/>
    <w:rsid w:val="00CC119A"/>
    <w:rsid w:val="00CC28E1"/>
    <w:rsid w:val="00CC42DF"/>
    <w:rsid w:val="00CC4785"/>
    <w:rsid w:val="00CC4BF6"/>
    <w:rsid w:val="00CD55B6"/>
    <w:rsid w:val="00CD577E"/>
    <w:rsid w:val="00CD6053"/>
    <w:rsid w:val="00CF02D8"/>
    <w:rsid w:val="00CF50A8"/>
    <w:rsid w:val="00CF7151"/>
    <w:rsid w:val="00D01925"/>
    <w:rsid w:val="00D04DDB"/>
    <w:rsid w:val="00D107B4"/>
    <w:rsid w:val="00D10D20"/>
    <w:rsid w:val="00D12DCB"/>
    <w:rsid w:val="00D13A0A"/>
    <w:rsid w:val="00D16C5F"/>
    <w:rsid w:val="00D2136D"/>
    <w:rsid w:val="00D23B99"/>
    <w:rsid w:val="00D27578"/>
    <w:rsid w:val="00D352EF"/>
    <w:rsid w:val="00D363DC"/>
    <w:rsid w:val="00D378DD"/>
    <w:rsid w:val="00D37E22"/>
    <w:rsid w:val="00D42945"/>
    <w:rsid w:val="00D447D6"/>
    <w:rsid w:val="00D45444"/>
    <w:rsid w:val="00D45C09"/>
    <w:rsid w:val="00D47B77"/>
    <w:rsid w:val="00D50DE8"/>
    <w:rsid w:val="00D56E6B"/>
    <w:rsid w:val="00D65375"/>
    <w:rsid w:val="00D67A8B"/>
    <w:rsid w:val="00D76D9D"/>
    <w:rsid w:val="00D83B1E"/>
    <w:rsid w:val="00D87CE7"/>
    <w:rsid w:val="00D91EB4"/>
    <w:rsid w:val="00D926B7"/>
    <w:rsid w:val="00D94D86"/>
    <w:rsid w:val="00DA019B"/>
    <w:rsid w:val="00DA4258"/>
    <w:rsid w:val="00DA6432"/>
    <w:rsid w:val="00DB0052"/>
    <w:rsid w:val="00DB7D61"/>
    <w:rsid w:val="00DC56C0"/>
    <w:rsid w:val="00DC79B9"/>
    <w:rsid w:val="00DD07A5"/>
    <w:rsid w:val="00DD19A0"/>
    <w:rsid w:val="00DE0011"/>
    <w:rsid w:val="00DE03BE"/>
    <w:rsid w:val="00DE16B4"/>
    <w:rsid w:val="00DE7C72"/>
    <w:rsid w:val="00DF05E2"/>
    <w:rsid w:val="00DF6CD7"/>
    <w:rsid w:val="00E03135"/>
    <w:rsid w:val="00E0339D"/>
    <w:rsid w:val="00E05DAD"/>
    <w:rsid w:val="00E23121"/>
    <w:rsid w:val="00E25FDB"/>
    <w:rsid w:val="00E27D23"/>
    <w:rsid w:val="00E35C2E"/>
    <w:rsid w:val="00E4085B"/>
    <w:rsid w:val="00E40DE4"/>
    <w:rsid w:val="00E42AF2"/>
    <w:rsid w:val="00E444D8"/>
    <w:rsid w:val="00E515FF"/>
    <w:rsid w:val="00E627FA"/>
    <w:rsid w:val="00E65139"/>
    <w:rsid w:val="00E825FB"/>
    <w:rsid w:val="00E86401"/>
    <w:rsid w:val="00E903D1"/>
    <w:rsid w:val="00E91B57"/>
    <w:rsid w:val="00E943AC"/>
    <w:rsid w:val="00E973DB"/>
    <w:rsid w:val="00EA448B"/>
    <w:rsid w:val="00EA5200"/>
    <w:rsid w:val="00EA578A"/>
    <w:rsid w:val="00EB033B"/>
    <w:rsid w:val="00EB70D2"/>
    <w:rsid w:val="00EC0530"/>
    <w:rsid w:val="00EC1F94"/>
    <w:rsid w:val="00EC2D2E"/>
    <w:rsid w:val="00EC496F"/>
    <w:rsid w:val="00EC6F83"/>
    <w:rsid w:val="00EC7837"/>
    <w:rsid w:val="00ED00F4"/>
    <w:rsid w:val="00ED161F"/>
    <w:rsid w:val="00ED3EDB"/>
    <w:rsid w:val="00ED4A68"/>
    <w:rsid w:val="00EE7326"/>
    <w:rsid w:val="00EF028C"/>
    <w:rsid w:val="00F000B5"/>
    <w:rsid w:val="00F12447"/>
    <w:rsid w:val="00F12AB4"/>
    <w:rsid w:val="00F16685"/>
    <w:rsid w:val="00F171A2"/>
    <w:rsid w:val="00F23A73"/>
    <w:rsid w:val="00F24081"/>
    <w:rsid w:val="00F24C4C"/>
    <w:rsid w:val="00F46646"/>
    <w:rsid w:val="00F52D4B"/>
    <w:rsid w:val="00F53F64"/>
    <w:rsid w:val="00F54C4E"/>
    <w:rsid w:val="00F57C1B"/>
    <w:rsid w:val="00F62E97"/>
    <w:rsid w:val="00F6447B"/>
    <w:rsid w:val="00F65B9D"/>
    <w:rsid w:val="00F7327E"/>
    <w:rsid w:val="00F80E40"/>
    <w:rsid w:val="00F81320"/>
    <w:rsid w:val="00F83DFF"/>
    <w:rsid w:val="00F873CB"/>
    <w:rsid w:val="00F927E3"/>
    <w:rsid w:val="00F9761F"/>
    <w:rsid w:val="00FA5DBA"/>
    <w:rsid w:val="00FB1733"/>
    <w:rsid w:val="00FC04C3"/>
    <w:rsid w:val="00FC0DA0"/>
    <w:rsid w:val="00FC34BB"/>
    <w:rsid w:val="00FC37DD"/>
    <w:rsid w:val="00FC7782"/>
    <w:rsid w:val="00FD42D8"/>
    <w:rsid w:val="00FD430D"/>
    <w:rsid w:val="00FD6D1B"/>
    <w:rsid w:val="00FD6D9F"/>
    <w:rsid w:val="00FE00EF"/>
    <w:rsid w:val="00FE1CDC"/>
    <w:rsid w:val="00FE2EB5"/>
    <w:rsid w:val="00FF14EA"/>
    <w:rsid w:val="00FF3CFD"/>
    <w:rsid w:val="02A589CB"/>
    <w:rsid w:val="2AFD2498"/>
    <w:rsid w:val="3563FBA5"/>
    <w:rsid w:val="459C5829"/>
    <w:rsid w:val="68EFB35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97"/>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DE0011"/>
    <w:pPr>
      <w:keepNext/>
      <w:numPr>
        <w:numId w:val="3"/>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3"/>
      </w:numPr>
      <w:tabs>
        <w:tab w:val="left" w:pos="1080"/>
      </w:tabs>
      <w:spacing w:before="240" w:after="12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3"/>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3"/>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3"/>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3"/>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3"/>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DE0011"/>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2C6F90"/>
    <w:rPr>
      <w:rFonts w:ascii="Segoe UI" w:hAnsi="Segoe UI" w:cs="Segoe UI" w:hint="default"/>
      <w:i/>
      <w:iCs/>
      <w:color w:val="595959"/>
      <w:sz w:val="16"/>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2E0E1E"/>
  </w:style>
  <w:style w:type="table" w:customStyle="1" w:styleId="TableGrid1">
    <w:name w:val="Table Grid1"/>
    <w:basedOn w:val="TableNormal"/>
    <w:next w:val="TableGrid"/>
    <w:uiPriority w:val="39"/>
    <w:rsid w:val="00B92510"/>
    <w:pPr>
      <w:spacing w:before="120"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8393C-2BD2-4D73-B688-1F46217FD418}">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4.xml><?xml version="1.0" encoding="utf-8"?>
<ds:datastoreItem xmlns:ds="http://schemas.openxmlformats.org/officeDocument/2006/customXml" ds:itemID="{35E4EAEE-0C5D-43B3-9381-E6560399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docId:EA2C1905877768F9866529B1C2F3A7D7</cp:keywords>
  <dc:description/>
  <cp:lastModifiedBy>Sophie Jameson</cp:lastModifiedBy>
  <cp:revision>59</cp:revision>
  <dcterms:created xsi:type="dcterms:W3CDTF">2025-02-11T15:28:00Z</dcterms:created>
  <dcterms:modified xsi:type="dcterms:W3CDTF">2025-02-28T22:42:00Z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